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346F" w14:textId="34BD38D6" w:rsidR="00963DD7" w:rsidRPr="00963DD7" w:rsidRDefault="00963DD7">
      <w:pPr>
        <w:rPr>
          <w:rStyle w:val="oxzekf"/>
          <w:rFonts w:ascii="Helvetica" w:hAnsi="Helvetica"/>
          <w:color w:val="000000" w:themeColor="text1"/>
        </w:rPr>
      </w:pPr>
      <w:r w:rsidRPr="003331FF">
        <w:rPr>
          <w:rFonts w:ascii="Helvetica" w:hAnsi="Helvetica"/>
          <w:color w:val="000000" w:themeColor="text1"/>
        </w:rPr>
        <w:t>Government corruption leads to higher rates of human trafficking, poverty, crime, mental health declines, and insecure housing.</w:t>
      </w:r>
      <w:r w:rsidRPr="003331FF">
        <w:rPr>
          <w:rStyle w:val="FootnoteReference"/>
          <w:rFonts w:ascii="Helvetica" w:hAnsi="Helvetica"/>
          <w:color w:val="000000" w:themeColor="text1"/>
        </w:rPr>
        <w:footnoteReference w:id="1"/>
      </w:r>
      <w:r w:rsidRPr="003331FF">
        <w:rPr>
          <w:rFonts w:ascii="Helvetica" w:hAnsi="Helvetica"/>
          <w:color w:val="000000" w:themeColor="text1"/>
        </w:rPr>
        <w:t xml:space="preserve"> The hundreds of millions of taxpayer dollars that state appointees Lutz, </w:t>
      </w:r>
      <w:proofErr w:type="spellStart"/>
      <w:r w:rsidRPr="003331FF">
        <w:rPr>
          <w:rFonts w:ascii="Helvetica" w:hAnsi="Helvetica"/>
          <w:color w:val="000000" w:themeColor="text1"/>
        </w:rPr>
        <w:t>Beydoun</w:t>
      </w:r>
      <w:proofErr w:type="spellEnd"/>
      <w:r w:rsidRPr="003331FF">
        <w:rPr>
          <w:rFonts w:ascii="Helvetica" w:hAnsi="Helvetica"/>
          <w:color w:val="000000" w:themeColor="text1"/>
        </w:rPr>
        <w:t xml:space="preserve">, </w:t>
      </w:r>
      <w:proofErr w:type="spellStart"/>
      <w:r w:rsidRPr="003331FF">
        <w:rPr>
          <w:rFonts w:ascii="Helvetica" w:hAnsi="Helvetica"/>
          <w:color w:val="000000" w:themeColor="text1"/>
        </w:rPr>
        <w:t>Mikula</w:t>
      </w:r>
      <w:proofErr w:type="spellEnd"/>
      <w:r w:rsidRPr="003331FF">
        <w:rPr>
          <w:rFonts w:ascii="Helvetica" w:hAnsi="Helvetica"/>
          <w:color w:val="000000" w:themeColor="text1"/>
        </w:rPr>
        <w:t xml:space="preserve">, </w:t>
      </w:r>
      <w:proofErr w:type="spellStart"/>
      <w:r>
        <w:rPr>
          <w:rFonts w:ascii="Helvetica" w:hAnsi="Helvetica"/>
          <w:color w:val="000000" w:themeColor="text1"/>
        </w:rPr>
        <w:t>Thelen</w:t>
      </w:r>
      <w:proofErr w:type="spellEnd"/>
      <w:r>
        <w:rPr>
          <w:rFonts w:ascii="Helvetica" w:hAnsi="Helvetica"/>
          <w:color w:val="000000" w:themeColor="text1"/>
        </w:rPr>
        <w:t xml:space="preserve">, </w:t>
      </w:r>
      <w:r w:rsidRPr="003331FF">
        <w:rPr>
          <w:rFonts w:ascii="Helvetica" w:hAnsi="Helvetica"/>
          <w:color w:val="000000" w:themeColor="text1"/>
        </w:rPr>
        <w:t xml:space="preserve">etc. have inappropriately received </w:t>
      </w:r>
      <w:r>
        <w:rPr>
          <w:rFonts w:ascii="Helvetica" w:hAnsi="Helvetica"/>
          <w:color w:val="000000" w:themeColor="text1"/>
        </w:rPr>
        <w:t xml:space="preserve">(and given) </w:t>
      </w:r>
      <w:r w:rsidRPr="003331FF">
        <w:rPr>
          <w:rFonts w:ascii="Helvetica" w:hAnsi="Helvetica"/>
          <w:color w:val="000000" w:themeColor="text1"/>
        </w:rPr>
        <w:t>as quid pro quos in just the last couple of years could have been used to combat the very problems that make Michigan the most corrupt (according to the US Attorney) and least transparent state, as well as combat Michigan’s “brain drain” exodus of highly educated/trained workers.</w:t>
      </w:r>
      <w:r w:rsidRPr="003331FF">
        <w:rPr>
          <w:rStyle w:val="FootnoteReference"/>
          <w:rFonts w:ascii="Helvetica" w:hAnsi="Helvetica"/>
          <w:color w:val="000000" w:themeColor="text1"/>
        </w:rPr>
        <w:footnoteReference w:id="2"/>
      </w:r>
      <w:r w:rsidRPr="003331FF">
        <w:rPr>
          <w:rFonts w:ascii="Helvetica" w:hAnsi="Helvetica"/>
          <w:color w:val="000000" w:themeColor="text1"/>
        </w:rPr>
        <w:t xml:space="preserve"> When I served clients in the MSU College of Law Housing Clinic eviction diversion program, the difference between homelessness and keeping one’s housing was often smaller than </w:t>
      </w:r>
      <w:r w:rsidR="006B1A7C">
        <w:rPr>
          <w:rFonts w:ascii="Helvetica" w:hAnsi="Helvetica"/>
          <w:color w:val="000000" w:themeColor="text1"/>
        </w:rPr>
        <w:t xml:space="preserve">the client’s </w:t>
      </w:r>
      <w:r w:rsidRPr="003331FF">
        <w:rPr>
          <w:rFonts w:ascii="Helvetica" w:hAnsi="Helvetica"/>
          <w:color w:val="000000" w:themeColor="text1"/>
        </w:rPr>
        <w:t>annual tax bill. Instead of lowering taxes or refunding tax payments to the poor</w:t>
      </w:r>
      <w:r>
        <w:rPr>
          <w:rFonts w:ascii="Helvetica" w:hAnsi="Helvetica"/>
          <w:color w:val="000000" w:themeColor="text1"/>
        </w:rPr>
        <w:t xml:space="preserve"> with our recent tax generated budget surplus</w:t>
      </w:r>
      <w:r w:rsidRPr="003331FF">
        <w:rPr>
          <w:rFonts w:ascii="Helvetica" w:hAnsi="Helvetica"/>
          <w:color w:val="000000" w:themeColor="text1"/>
        </w:rPr>
        <w:t>, Michigan gave appointees millions they neither earned, deserved, needed, or were entitled to.</w:t>
      </w:r>
      <w:r>
        <w:rPr>
          <w:rFonts w:ascii="Helvetica" w:hAnsi="Helvetica"/>
          <w:color w:val="000000" w:themeColor="text1"/>
        </w:rPr>
        <w:t xml:space="preserve"> </w:t>
      </w:r>
    </w:p>
    <w:p w14:paraId="6C50AC1D" w14:textId="77777777" w:rsidR="00963DD7" w:rsidRDefault="00963DD7">
      <w:pPr>
        <w:rPr>
          <w:rStyle w:val="oxzekf"/>
          <w:rFonts w:ascii="Helvetica" w:hAnsi="Helvetica"/>
          <w:color w:val="000000" w:themeColor="text1"/>
          <w:shd w:val="clear" w:color="auto" w:fill="FFFFFF"/>
        </w:rPr>
      </w:pPr>
    </w:p>
    <w:p w14:paraId="4532F5BF" w14:textId="4778FAFC" w:rsidR="003331FF" w:rsidRPr="003331FF" w:rsidRDefault="003331FF">
      <w:pPr>
        <w:rPr>
          <w:rStyle w:val="oxzekf"/>
          <w:rFonts w:ascii="Helvetica" w:hAnsi="Helvetica"/>
          <w:color w:val="000000" w:themeColor="text1"/>
          <w:shd w:val="clear" w:color="auto" w:fill="FFFFFF"/>
        </w:rPr>
      </w:pPr>
      <w:r w:rsidRPr="003331FF">
        <w:rPr>
          <w:rStyle w:val="oxzekf"/>
          <w:rFonts w:ascii="Helvetica" w:hAnsi="Helvetica"/>
          <w:color w:val="000000" w:themeColor="text1"/>
          <w:shd w:val="clear" w:color="auto" w:fill="FFFFFF"/>
        </w:rPr>
        <w:t xml:space="preserve">An SEC cease and desist order civil proceeding is a legal action initiated by the Securities and Exchange Commission (SEC) to </w:t>
      </w:r>
      <w:r w:rsidR="007A7BC8">
        <w:rPr>
          <w:rStyle w:val="oxzekf"/>
          <w:rFonts w:ascii="Helvetica" w:hAnsi="Helvetica"/>
          <w:color w:val="000000" w:themeColor="text1"/>
          <w:shd w:val="clear" w:color="auto" w:fill="FFFFFF"/>
        </w:rPr>
        <w:t>demand that</w:t>
      </w:r>
      <w:r w:rsidRPr="003331FF">
        <w:rPr>
          <w:rStyle w:val="oxzekf"/>
          <w:rFonts w:ascii="Helvetica" w:hAnsi="Helvetica"/>
          <w:color w:val="000000" w:themeColor="text1"/>
          <w:shd w:val="clear" w:color="auto" w:fill="FFFFFF"/>
        </w:rPr>
        <w:t xml:space="preserve"> a company or individual stop engaging in a specific activity that is deemed to be a violation of securities laws</w:t>
      </w:r>
      <w:r w:rsidR="007A7BC8">
        <w:rPr>
          <w:rStyle w:val="oxzekf"/>
          <w:rFonts w:ascii="Helvetica" w:hAnsi="Helvetica"/>
          <w:color w:val="000000" w:themeColor="text1"/>
          <w:shd w:val="clear" w:color="auto" w:fill="FFFFFF"/>
        </w:rPr>
        <w:t xml:space="preserve">. The order </w:t>
      </w:r>
      <w:r w:rsidRPr="003331FF">
        <w:rPr>
          <w:rStyle w:val="oxzekf"/>
          <w:rFonts w:ascii="Helvetica" w:hAnsi="Helvetica"/>
          <w:color w:val="000000" w:themeColor="text1"/>
          <w:shd w:val="clear" w:color="auto" w:fill="FFFFFF"/>
        </w:rPr>
        <w:t>often includ</w:t>
      </w:r>
      <w:r w:rsidR="007A7BC8">
        <w:rPr>
          <w:rStyle w:val="oxzekf"/>
          <w:rFonts w:ascii="Helvetica" w:hAnsi="Helvetica"/>
          <w:color w:val="000000" w:themeColor="text1"/>
          <w:shd w:val="clear" w:color="auto" w:fill="FFFFFF"/>
        </w:rPr>
        <w:t>es</w:t>
      </w:r>
      <w:r w:rsidRPr="003331FF">
        <w:rPr>
          <w:rStyle w:val="oxzekf"/>
          <w:rFonts w:ascii="Helvetica" w:hAnsi="Helvetica"/>
          <w:color w:val="000000" w:themeColor="text1"/>
          <w:shd w:val="clear" w:color="auto" w:fill="FFFFFF"/>
        </w:rPr>
        <w:t xml:space="preserve"> penalties like disgorgement of illegal profits</w:t>
      </w:r>
      <w:r w:rsidR="007A7BC8">
        <w:rPr>
          <w:rStyle w:val="oxzekf"/>
          <w:rFonts w:ascii="Helvetica" w:hAnsi="Helvetica"/>
          <w:color w:val="000000" w:themeColor="text1"/>
          <w:shd w:val="clear" w:color="auto" w:fill="FFFFFF"/>
        </w:rPr>
        <w:t xml:space="preserve"> </w:t>
      </w:r>
      <w:r w:rsidRPr="003331FF">
        <w:rPr>
          <w:rStyle w:val="oxzekf"/>
          <w:rFonts w:ascii="Helvetica" w:hAnsi="Helvetica"/>
          <w:color w:val="000000" w:themeColor="text1"/>
          <w:shd w:val="clear" w:color="auto" w:fill="FFFFFF"/>
        </w:rPr>
        <w:t>and</w:t>
      </w:r>
      <w:r w:rsidR="007A7BC8">
        <w:rPr>
          <w:rStyle w:val="oxzekf"/>
          <w:rFonts w:ascii="Helvetica" w:hAnsi="Helvetica"/>
          <w:color w:val="000000" w:themeColor="text1"/>
          <w:shd w:val="clear" w:color="auto" w:fill="FFFFFF"/>
        </w:rPr>
        <w:t xml:space="preserve"> may</w:t>
      </w:r>
      <w:r w:rsidRPr="003331FF">
        <w:rPr>
          <w:rStyle w:val="oxzekf"/>
          <w:rFonts w:ascii="Helvetica" w:hAnsi="Helvetica"/>
          <w:color w:val="000000" w:themeColor="text1"/>
          <w:shd w:val="clear" w:color="auto" w:fill="FFFFFF"/>
        </w:rPr>
        <w:t xml:space="preserve"> be brought against </w:t>
      </w:r>
      <w:r w:rsidR="007A7BC8">
        <w:rPr>
          <w:rStyle w:val="oxzekf"/>
          <w:rFonts w:ascii="Helvetica" w:hAnsi="Helvetica"/>
          <w:color w:val="000000" w:themeColor="text1"/>
          <w:shd w:val="clear" w:color="auto" w:fill="FFFFFF"/>
        </w:rPr>
        <w:t>companies and individuals</w:t>
      </w:r>
      <w:r w:rsidRPr="003331FF">
        <w:rPr>
          <w:rStyle w:val="oxzekf"/>
          <w:rFonts w:ascii="Helvetica" w:hAnsi="Helvetica"/>
          <w:color w:val="000000" w:themeColor="text1"/>
          <w:shd w:val="clear" w:color="auto" w:fill="FFFFFF"/>
        </w:rPr>
        <w:t xml:space="preserve"> in an administrative hearing before the SEC, essentially telling them to "cease and desist" from the </w:t>
      </w:r>
      <w:r w:rsidR="007A7BC8">
        <w:rPr>
          <w:rStyle w:val="oxzekf"/>
          <w:rFonts w:ascii="Helvetica" w:hAnsi="Helvetica"/>
          <w:color w:val="000000" w:themeColor="text1"/>
          <w:shd w:val="clear" w:color="auto" w:fill="FFFFFF"/>
        </w:rPr>
        <w:t>unlawful</w:t>
      </w:r>
      <w:r w:rsidRPr="003331FF">
        <w:rPr>
          <w:rStyle w:val="oxzekf"/>
          <w:rFonts w:ascii="Helvetica" w:hAnsi="Helvetica"/>
          <w:color w:val="000000" w:themeColor="text1"/>
          <w:shd w:val="clear" w:color="auto" w:fill="FFFFFF"/>
        </w:rPr>
        <w:t xml:space="preserve"> behavior; it is considered a civil action, not a criminal one.</w:t>
      </w:r>
    </w:p>
    <w:p w14:paraId="62CF996F" w14:textId="77777777" w:rsidR="00281641" w:rsidRDefault="00281641">
      <w:pPr>
        <w:rPr>
          <w:rStyle w:val="oxzekf"/>
          <w:rFonts w:ascii="Helvetica" w:hAnsi="Helvetica"/>
          <w:color w:val="000000" w:themeColor="text1"/>
          <w:shd w:val="clear" w:color="auto" w:fill="FFFFFF"/>
        </w:rPr>
      </w:pPr>
    </w:p>
    <w:p w14:paraId="44DD0261" w14:textId="4EAC34B3" w:rsidR="003331FF" w:rsidRDefault="003331FF">
      <w:pPr>
        <w:rPr>
          <w:rFonts w:ascii="Helvetica" w:hAnsi="Helvetica"/>
          <w:color w:val="000000" w:themeColor="text1"/>
        </w:rPr>
      </w:pPr>
      <w:r w:rsidRPr="003331FF">
        <w:rPr>
          <w:rStyle w:val="oxzekf"/>
          <w:rFonts w:ascii="Helvetica" w:hAnsi="Helvetica"/>
          <w:color w:val="000000" w:themeColor="text1"/>
          <w:shd w:val="clear" w:color="auto" w:fill="FFFFFF"/>
        </w:rPr>
        <w:t xml:space="preserve">Under MCL </w:t>
      </w:r>
      <w:r w:rsidRPr="003331FF">
        <w:rPr>
          <w:rFonts w:ascii="Helvetica" w:hAnsi="Helvetica"/>
          <w:color w:val="000000" w:themeColor="text1"/>
        </w:rPr>
        <w:t xml:space="preserve">125.2088c </w:t>
      </w:r>
      <w:r w:rsidR="003A5DD2">
        <w:rPr>
          <w:rFonts w:ascii="Helvetica" w:hAnsi="Helvetica"/>
          <w:color w:val="000000" w:themeColor="text1"/>
        </w:rPr>
        <w:t xml:space="preserve">(4)(b) </w:t>
      </w:r>
      <w:r w:rsidRPr="003331FF">
        <w:rPr>
          <w:rFonts w:ascii="Helvetica" w:hAnsi="Helvetica"/>
          <w:color w:val="000000" w:themeColor="text1"/>
        </w:rPr>
        <w:t>Duties of</w:t>
      </w:r>
      <w:r w:rsidR="000F409A">
        <w:rPr>
          <w:rFonts w:ascii="Helvetica" w:hAnsi="Helvetica"/>
          <w:color w:val="000000" w:themeColor="text1"/>
        </w:rPr>
        <w:t xml:space="preserve"> the MSF</w:t>
      </w:r>
      <w:r w:rsidRPr="003331FF">
        <w:rPr>
          <w:rFonts w:ascii="Helvetica" w:hAnsi="Helvetica"/>
          <w:color w:val="000000" w:themeColor="text1"/>
        </w:rPr>
        <w:t xml:space="preserve"> fund board</w:t>
      </w:r>
      <w:r w:rsidRPr="003331FF">
        <w:rPr>
          <w:rFonts w:ascii="Helvetica" w:hAnsi="Helvetica"/>
          <w:color w:val="000000" w:themeColor="text1"/>
        </w:rPr>
        <w:t xml:space="preserve">, MSF is barred from funding </w:t>
      </w:r>
      <w:r w:rsidR="00281641">
        <w:rPr>
          <w:rFonts w:ascii="Helvetica" w:hAnsi="Helvetica"/>
          <w:color w:val="000000" w:themeColor="text1"/>
        </w:rPr>
        <w:t xml:space="preserve">(or reauthorizing funding to) </w:t>
      </w:r>
      <w:r w:rsidRPr="003331FF">
        <w:rPr>
          <w:rFonts w:ascii="Helvetica" w:hAnsi="Helvetica"/>
          <w:color w:val="000000" w:themeColor="text1"/>
        </w:rPr>
        <w:t>organizations that</w:t>
      </w:r>
      <w:r w:rsidR="000F409A">
        <w:rPr>
          <w:rFonts w:ascii="Helvetica" w:hAnsi="Helvetica"/>
          <w:color w:val="000000" w:themeColor="text1"/>
        </w:rPr>
        <w:t xml:space="preserve"> have been</w:t>
      </w:r>
      <w:r w:rsidRPr="003331FF">
        <w:rPr>
          <w:rFonts w:ascii="Helvetica" w:hAnsi="Helvetica"/>
          <w:color w:val="000000" w:themeColor="text1"/>
        </w:rPr>
        <w:t xml:space="preserve"> found liable in civil proceeding like th</w:t>
      </w:r>
      <w:r w:rsidR="007A7BC8">
        <w:rPr>
          <w:rFonts w:ascii="Helvetica" w:hAnsi="Helvetica"/>
          <w:color w:val="000000" w:themeColor="text1"/>
        </w:rPr>
        <w:t>e SEC proceeding in</w:t>
      </w:r>
      <w:r w:rsidRPr="003331FF">
        <w:rPr>
          <w:rFonts w:ascii="Helvetica" w:hAnsi="Helvetica"/>
          <w:color w:val="000000" w:themeColor="text1"/>
        </w:rPr>
        <w:t xml:space="preserve"> which Gentex was found liable</w:t>
      </w:r>
      <w:r w:rsidR="000F409A">
        <w:rPr>
          <w:rFonts w:ascii="Helvetica" w:hAnsi="Helvetica"/>
          <w:color w:val="000000" w:themeColor="text1"/>
        </w:rPr>
        <w:t>.</w:t>
      </w:r>
      <w:r w:rsidR="00D704F7">
        <w:rPr>
          <w:rStyle w:val="FootnoteReference"/>
          <w:rFonts w:ascii="Helvetica" w:hAnsi="Helvetica"/>
          <w:color w:val="000000" w:themeColor="text1"/>
        </w:rPr>
        <w:footnoteReference w:id="3"/>
      </w:r>
      <w:r w:rsidR="000F409A">
        <w:rPr>
          <w:rFonts w:ascii="Helvetica" w:hAnsi="Helvetica"/>
          <w:color w:val="000000" w:themeColor="text1"/>
        </w:rPr>
        <w:t xml:space="preserve"> MSF board members may not fund organizations </w:t>
      </w:r>
      <w:r w:rsidR="007A7BC8">
        <w:rPr>
          <w:rFonts w:ascii="Helvetica" w:hAnsi="Helvetica"/>
          <w:color w:val="000000" w:themeColor="text1"/>
        </w:rPr>
        <w:t>that are</w:t>
      </w:r>
      <w:r w:rsidR="000F409A">
        <w:rPr>
          <w:rFonts w:ascii="Helvetica" w:hAnsi="Helvetica"/>
          <w:color w:val="000000" w:themeColor="text1"/>
        </w:rPr>
        <w:t xml:space="preserve"> found liable “i</w:t>
      </w:r>
      <w:r w:rsidRPr="003331FF">
        <w:rPr>
          <w:rFonts w:ascii="Helvetica" w:hAnsi="Helvetica"/>
          <w:color w:val="000000" w:themeColor="text1"/>
        </w:rPr>
        <w:t xml:space="preserve">n a civil proceeding, that negatively reflects on the person's business integrity, based on a finding of embezzlement, theft, forgery, bribery, </w:t>
      </w:r>
      <w:r w:rsidRPr="007A7BC8">
        <w:rPr>
          <w:rFonts w:ascii="Helvetica" w:hAnsi="Helvetica"/>
          <w:b/>
          <w:bCs/>
          <w:color w:val="000000" w:themeColor="text1"/>
          <w:u w:val="single"/>
        </w:rPr>
        <w:t>falsification or destruction of records</w:t>
      </w:r>
      <w:r w:rsidRPr="003331FF">
        <w:rPr>
          <w:rFonts w:ascii="Helvetica" w:hAnsi="Helvetica"/>
          <w:color w:val="000000" w:themeColor="text1"/>
        </w:rPr>
        <w:t>, receiving stolen property, violation of state or federal antitrust statutes</w:t>
      </w:r>
      <w:r w:rsidRPr="003331FF">
        <w:rPr>
          <w:rFonts w:ascii="Helvetica" w:hAnsi="Helvetica"/>
          <w:color w:val="000000" w:themeColor="text1"/>
        </w:rPr>
        <w:t>.” On February 7, 2023</w:t>
      </w:r>
      <w:r w:rsidR="00F611CF">
        <w:rPr>
          <w:rFonts w:ascii="Helvetica" w:hAnsi="Helvetica"/>
          <w:color w:val="000000" w:themeColor="text1"/>
        </w:rPr>
        <w:t>,</w:t>
      </w:r>
      <w:r w:rsidRPr="003331FF">
        <w:rPr>
          <w:rFonts w:ascii="Helvetica" w:hAnsi="Helvetica"/>
          <w:color w:val="000000" w:themeColor="text1"/>
        </w:rPr>
        <w:t xml:space="preserve"> the SEC found Gentex violated several clauses of the Exchange Act</w:t>
      </w:r>
      <w:r w:rsidR="007A7BC8">
        <w:rPr>
          <w:rFonts w:ascii="Helvetica" w:hAnsi="Helvetica"/>
          <w:color w:val="000000" w:themeColor="text1"/>
        </w:rPr>
        <w:t xml:space="preserve"> related to falsifying records (13(b) et al)</w:t>
      </w:r>
      <w:r w:rsidRPr="003331FF">
        <w:rPr>
          <w:rFonts w:ascii="Helvetica" w:hAnsi="Helvetica"/>
          <w:color w:val="000000" w:themeColor="text1"/>
        </w:rPr>
        <w:t>, ordered Gentex to pay penalties, and to cease and desist future fraud</w:t>
      </w:r>
      <w:r>
        <w:rPr>
          <w:rFonts w:ascii="Helvetica" w:hAnsi="Helvetica"/>
          <w:color w:val="000000" w:themeColor="text1"/>
        </w:rPr>
        <w:t xml:space="preserve"> and record falsification</w:t>
      </w:r>
      <w:r w:rsidR="00D704F7">
        <w:rPr>
          <w:rFonts w:ascii="Helvetica" w:hAnsi="Helvetica"/>
          <w:color w:val="000000" w:themeColor="text1"/>
        </w:rPr>
        <w:t>.</w:t>
      </w:r>
      <w:r w:rsidRPr="003331FF">
        <w:rPr>
          <w:rFonts w:ascii="Helvetica" w:hAnsi="Helvetica"/>
          <w:color w:val="000000" w:themeColor="text1"/>
        </w:rPr>
        <w:t xml:space="preserve"> </w:t>
      </w:r>
      <w:r w:rsidR="006F5C18">
        <w:rPr>
          <w:rFonts w:ascii="Helvetica" w:hAnsi="Helvetica"/>
          <w:color w:val="000000" w:themeColor="text1"/>
        </w:rPr>
        <w:t xml:space="preserve">As stated in my complaint, under ethics laws, </w:t>
      </w:r>
      <w:proofErr w:type="spellStart"/>
      <w:r w:rsidR="006F5C18">
        <w:rPr>
          <w:rFonts w:ascii="Helvetica" w:hAnsi="Helvetica"/>
          <w:color w:val="000000" w:themeColor="text1"/>
        </w:rPr>
        <w:t>Thelen</w:t>
      </w:r>
      <w:proofErr w:type="spellEnd"/>
      <w:r w:rsidR="006F5C18">
        <w:rPr>
          <w:rFonts w:ascii="Helvetica" w:hAnsi="Helvetica"/>
          <w:color w:val="000000" w:themeColor="text1"/>
        </w:rPr>
        <w:t xml:space="preserve"> </w:t>
      </w:r>
      <w:r w:rsidR="00D704F7">
        <w:rPr>
          <w:rFonts w:ascii="Helvetica" w:hAnsi="Helvetica"/>
          <w:color w:val="000000" w:themeColor="text1"/>
        </w:rPr>
        <w:t>(</w:t>
      </w:r>
      <w:r w:rsidR="00AE7306">
        <w:rPr>
          <w:rFonts w:ascii="Helvetica" w:hAnsi="Helvetica"/>
          <w:color w:val="000000" w:themeColor="text1"/>
        </w:rPr>
        <w:t>and his MSF/MEDC ilk</w:t>
      </w:r>
      <w:r w:rsidR="00D704F7">
        <w:rPr>
          <w:rFonts w:ascii="Helvetica" w:hAnsi="Helvetica"/>
          <w:color w:val="000000" w:themeColor="text1"/>
        </w:rPr>
        <w:t>)</w:t>
      </w:r>
      <w:r w:rsidR="006F5C18">
        <w:rPr>
          <w:rFonts w:ascii="Helvetica" w:hAnsi="Helvetica"/>
          <w:color w:val="000000" w:themeColor="text1"/>
        </w:rPr>
        <w:t xml:space="preserve"> are required to follow the MSF related statutes for distributing funding. Specifically, MCL 15.342 requires officers must use</w:t>
      </w:r>
      <w:r w:rsidR="00F611CF">
        <w:rPr>
          <w:rFonts w:ascii="Helvetica" w:hAnsi="Helvetica"/>
          <w:color w:val="000000" w:themeColor="text1"/>
        </w:rPr>
        <w:t xml:space="preserve"> funds under their care according to the statutory procedures. </w:t>
      </w:r>
      <w:r w:rsidR="006F5C18">
        <w:rPr>
          <w:rFonts w:ascii="Helvetica" w:hAnsi="Helvetica"/>
          <w:color w:val="000000" w:themeColor="text1"/>
        </w:rPr>
        <w:t xml:space="preserve"> </w:t>
      </w:r>
    </w:p>
    <w:p w14:paraId="51E0927A" w14:textId="77777777" w:rsidR="00281641" w:rsidRDefault="00281641">
      <w:pPr>
        <w:rPr>
          <w:rFonts w:ascii="Helvetica" w:hAnsi="Helvetica"/>
          <w:color w:val="000000" w:themeColor="text1"/>
        </w:rPr>
      </w:pPr>
    </w:p>
    <w:p w14:paraId="17123800" w14:textId="45C4C776" w:rsidR="00281641" w:rsidRPr="003331FF" w:rsidRDefault="00281641">
      <w:pPr>
        <w:rPr>
          <w:rFonts w:ascii="Helvetica" w:hAnsi="Helvetica"/>
          <w:color w:val="000000" w:themeColor="text1"/>
        </w:rPr>
      </w:pPr>
      <w:proofErr w:type="spellStart"/>
      <w:r>
        <w:rPr>
          <w:rFonts w:ascii="Helvetica" w:hAnsi="Helvetica"/>
          <w:color w:val="000000" w:themeColor="text1"/>
        </w:rPr>
        <w:t>Thelen</w:t>
      </w:r>
      <w:proofErr w:type="spellEnd"/>
      <w:r>
        <w:rPr>
          <w:rFonts w:ascii="Helvetica" w:hAnsi="Helvetica"/>
          <w:color w:val="000000" w:themeColor="text1"/>
        </w:rPr>
        <w:t xml:space="preserve"> was</w:t>
      </w:r>
      <w:r w:rsidR="000F409A">
        <w:rPr>
          <w:rFonts w:ascii="Helvetica" w:hAnsi="Helvetica"/>
          <w:color w:val="000000" w:themeColor="text1"/>
        </w:rPr>
        <w:t xml:space="preserve"> also </w:t>
      </w:r>
      <w:r>
        <w:rPr>
          <w:rFonts w:ascii="Helvetica" w:hAnsi="Helvetica"/>
          <w:color w:val="000000" w:themeColor="text1"/>
        </w:rPr>
        <w:t>required</w:t>
      </w:r>
      <w:r w:rsidR="000F409A">
        <w:rPr>
          <w:rFonts w:ascii="Helvetica" w:hAnsi="Helvetica"/>
          <w:color w:val="000000" w:themeColor="text1"/>
        </w:rPr>
        <w:t xml:space="preserve"> by law</w:t>
      </w:r>
      <w:r>
        <w:rPr>
          <w:rFonts w:ascii="Helvetica" w:hAnsi="Helvetica"/>
          <w:color w:val="000000" w:themeColor="text1"/>
        </w:rPr>
        <w:t xml:space="preserve"> to recuse himself from voting on Gentex funding. He was required to disclose his conflicts with Gentex</w:t>
      </w:r>
      <w:r w:rsidR="000F409A">
        <w:rPr>
          <w:rFonts w:ascii="Helvetica" w:hAnsi="Helvetica"/>
          <w:color w:val="000000" w:themeColor="text1"/>
        </w:rPr>
        <w:t xml:space="preserve"> as well</w:t>
      </w:r>
      <w:r>
        <w:rPr>
          <w:rFonts w:ascii="Helvetica" w:hAnsi="Helvetica"/>
          <w:color w:val="000000" w:themeColor="text1"/>
        </w:rPr>
        <w:t xml:space="preserve">. He did neither. Additionally, the MSF is prohibited from authorizing funding to Gentex, which is also in violation of </w:t>
      </w:r>
      <w:r>
        <w:rPr>
          <w:rFonts w:ascii="Helvetica" w:hAnsi="Helvetica"/>
          <w:color w:val="000000" w:themeColor="text1"/>
        </w:rPr>
        <w:lastRenderedPageBreak/>
        <w:t xml:space="preserve">the MSF law MCL 125.2088c and ethics laws. </w:t>
      </w:r>
      <w:proofErr w:type="spellStart"/>
      <w:r>
        <w:rPr>
          <w:rFonts w:ascii="Helvetica" w:hAnsi="Helvetica"/>
          <w:color w:val="000000" w:themeColor="text1"/>
        </w:rPr>
        <w:t>Thelen</w:t>
      </w:r>
      <w:proofErr w:type="spellEnd"/>
      <w:r>
        <w:rPr>
          <w:rFonts w:ascii="Helvetica" w:hAnsi="Helvetica"/>
          <w:color w:val="000000" w:themeColor="text1"/>
        </w:rPr>
        <w:t xml:space="preserve"> recused and disclosed conflicts</w:t>
      </w:r>
      <w:r w:rsidR="003A21AA">
        <w:rPr>
          <w:rFonts w:ascii="Helvetica" w:hAnsi="Helvetica"/>
          <w:color w:val="000000" w:themeColor="text1"/>
        </w:rPr>
        <w:t xml:space="preserve"> not related to Gentex,</w:t>
      </w:r>
      <w:r>
        <w:rPr>
          <w:rFonts w:ascii="Helvetica" w:hAnsi="Helvetica"/>
          <w:color w:val="000000" w:themeColor="text1"/>
        </w:rPr>
        <w:t xml:space="preserve"> dozens of other times</w:t>
      </w:r>
      <w:r w:rsidR="003A21AA">
        <w:rPr>
          <w:rFonts w:ascii="Helvetica" w:hAnsi="Helvetica"/>
          <w:color w:val="000000" w:themeColor="text1"/>
        </w:rPr>
        <w:t xml:space="preserve">. When it came to Gentex, </w:t>
      </w:r>
      <w:proofErr w:type="spellStart"/>
      <w:r w:rsidR="003A21AA">
        <w:rPr>
          <w:rFonts w:ascii="Helvetica" w:hAnsi="Helvetica"/>
          <w:color w:val="000000" w:themeColor="text1"/>
        </w:rPr>
        <w:t>Thelen</w:t>
      </w:r>
      <w:proofErr w:type="spellEnd"/>
      <w:r>
        <w:rPr>
          <w:rFonts w:ascii="Helvetica" w:hAnsi="Helvetica"/>
          <w:color w:val="000000" w:themeColor="text1"/>
        </w:rPr>
        <w:t xml:space="preserve"> declined to follow the statutory procedures in exercising his MSF board duties at great expense to taxpayers.</w:t>
      </w:r>
      <w:r w:rsidR="00D704F7">
        <w:rPr>
          <w:rFonts w:ascii="Helvetica" w:hAnsi="Helvetica"/>
          <w:color w:val="000000" w:themeColor="text1"/>
        </w:rPr>
        <w:t xml:space="preserve"> </w:t>
      </w:r>
      <w:proofErr w:type="spellStart"/>
      <w:r w:rsidR="00D704F7">
        <w:rPr>
          <w:rFonts w:ascii="Helvetica" w:hAnsi="Helvetica"/>
          <w:color w:val="000000" w:themeColor="text1"/>
        </w:rPr>
        <w:t>Thelen’s</w:t>
      </w:r>
      <w:proofErr w:type="spellEnd"/>
      <w:r w:rsidR="00D704F7">
        <w:rPr>
          <w:rFonts w:ascii="Helvetica" w:hAnsi="Helvetica"/>
          <w:color w:val="000000" w:themeColor="text1"/>
        </w:rPr>
        <w:t xml:space="preserve"> taxpayer funded attorneys have argued that his vote and lack of recusal don’t count because it was a renewal of funding. </w:t>
      </w:r>
      <w:r w:rsidR="003A21AA">
        <w:rPr>
          <w:rFonts w:ascii="Helvetica" w:hAnsi="Helvetica"/>
          <w:color w:val="000000" w:themeColor="text1"/>
        </w:rPr>
        <w:t xml:space="preserve">The votes and lack of recusal are recorded in the meeting minutes because they are essential to the funding process. </w:t>
      </w:r>
      <w:r w:rsidR="00D704F7">
        <w:rPr>
          <w:rFonts w:ascii="Helvetica" w:hAnsi="Helvetica"/>
          <w:color w:val="000000" w:themeColor="text1"/>
        </w:rPr>
        <w:t xml:space="preserve">The periodic reviews and performance-based renewals exist to stop the very crimes </w:t>
      </w:r>
      <w:proofErr w:type="spellStart"/>
      <w:r w:rsidR="00D704F7">
        <w:rPr>
          <w:rFonts w:ascii="Helvetica" w:hAnsi="Helvetica"/>
          <w:color w:val="000000" w:themeColor="text1"/>
        </w:rPr>
        <w:t>Thelen</w:t>
      </w:r>
      <w:proofErr w:type="spellEnd"/>
      <w:r w:rsidR="00D704F7">
        <w:rPr>
          <w:rFonts w:ascii="Helvetica" w:hAnsi="Helvetica"/>
          <w:color w:val="000000" w:themeColor="text1"/>
        </w:rPr>
        <w:t xml:space="preserve"> committed, including funding an ineligible crony organization. </w:t>
      </w:r>
    </w:p>
    <w:p w14:paraId="43E1CF6E" w14:textId="77777777" w:rsidR="00406165" w:rsidRPr="003331FF" w:rsidRDefault="00406165">
      <w:pPr>
        <w:rPr>
          <w:rFonts w:ascii="Helvetica" w:hAnsi="Helvetica"/>
          <w:color w:val="000000" w:themeColor="text1"/>
        </w:rPr>
      </w:pPr>
    </w:p>
    <w:p w14:paraId="754A2824" w14:textId="133CE4F0" w:rsidR="00530C57" w:rsidRPr="003331FF" w:rsidRDefault="00330631">
      <w:pPr>
        <w:rPr>
          <w:rFonts w:ascii="Helvetica" w:hAnsi="Helvetica"/>
          <w:color w:val="000000" w:themeColor="text1"/>
        </w:rPr>
      </w:pPr>
      <w:r w:rsidRPr="003331FF">
        <w:rPr>
          <w:rFonts w:ascii="Helvetica" w:hAnsi="Helvetica"/>
          <w:color w:val="000000" w:themeColor="text1"/>
        </w:rPr>
        <w:t>There are 173</w:t>
      </w:r>
      <w:r w:rsidR="00507E3E">
        <w:rPr>
          <w:rFonts w:ascii="Helvetica" w:hAnsi="Helvetica"/>
          <w:color w:val="000000" w:themeColor="text1"/>
        </w:rPr>
        <w:t>4</w:t>
      </w:r>
      <w:r w:rsidRPr="003331FF">
        <w:rPr>
          <w:rFonts w:ascii="Helvetica" w:hAnsi="Helvetica"/>
          <w:color w:val="000000" w:themeColor="text1"/>
        </w:rPr>
        <w:t xml:space="preserve"> labor unions in Michigan, according to </w:t>
      </w:r>
      <w:proofErr w:type="spellStart"/>
      <w:r w:rsidRPr="003331FF">
        <w:rPr>
          <w:rFonts w:ascii="Helvetica" w:hAnsi="Helvetica"/>
          <w:color w:val="000000" w:themeColor="text1"/>
        </w:rPr>
        <w:t>causeiq</w:t>
      </w:r>
      <w:proofErr w:type="spellEnd"/>
      <w:r w:rsidRPr="003331FF">
        <w:rPr>
          <w:rFonts w:ascii="Helvetica" w:hAnsi="Helvetica"/>
          <w:color w:val="000000" w:themeColor="text1"/>
        </w:rPr>
        <w:t>.</w:t>
      </w:r>
      <w:r w:rsidRPr="003331FF">
        <w:rPr>
          <w:rStyle w:val="FootnoteReference"/>
          <w:rFonts w:ascii="Helvetica" w:hAnsi="Helvetica"/>
          <w:color w:val="000000" w:themeColor="text1"/>
        </w:rPr>
        <w:footnoteReference w:id="4"/>
      </w:r>
      <w:r w:rsidRPr="003331FF">
        <w:rPr>
          <w:rFonts w:ascii="Helvetica" w:hAnsi="Helvetica"/>
          <w:color w:val="000000" w:themeColor="text1"/>
        </w:rPr>
        <w:t xml:space="preserve"> </w:t>
      </w:r>
      <w:r w:rsidR="00C722D9" w:rsidRPr="003331FF">
        <w:rPr>
          <w:rFonts w:ascii="Helvetica" w:hAnsi="Helvetica"/>
          <w:color w:val="000000" w:themeColor="text1"/>
        </w:rPr>
        <w:t>The US Bureau of Labor Statistics reported 564,000 union members in Michigan for the year 2023.</w:t>
      </w:r>
      <w:r w:rsidR="00C722D9" w:rsidRPr="003331FF">
        <w:rPr>
          <w:rStyle w:val="FootnoteReference"/>
          <w:rFonts w:ascii="Helvetica" w:hAnsi="Helvetica"/>
          <w:color w:val="000000" w:themeColor="text1"/>
        </w:rPr>
        <w:footnoteReference w:id="5"/>
      </w:r>
      <w:r w:rsidR="00C722D9" w:rsidRPr="003331FF">
        <w:rPr>
          <w:rFonts w:ascii="Helvetica" w:hAnsi="Helvetica"/>
          <w:color w:val="000000" w:themeColor="text1"/>
        </w:rPr>
        <w:t xml:space="preserve"> T</w:t>
      </w:r>
      <w:r w:rsidR="007553AB" w:rsidRPr="003331FF">
        <w:rPr>
          <w:rFonts w:ascii="Helvetica" w:hAnsi="Helvetica"/>
          <w:color w:val="000000" w:themeColor="text1"/>
        </w:rPr>
        <w:t>he governor inexplicably</w:t>
      </w:r>
      <w:r w:rsidR="00530C57" w:rsidRPr="003331FF">
        <w:rPr>
          <w:rFonts w:ascii="Helvetica" w:hAnsi="Helvetica"/>
          <w:color w:val="000000" w:themeColor="text1"/>
        </w:rPr>
        <w:t xml:space="preserve"> repeatedly</w:t>
      </w:r>
      <w:r w:rsidR="007553AB" w:rsidRPr="003331FF">
        <w:rPr>
          <w:rFonts w:ascii="Helvetica" w:hAnsi="Helvetica"/>
          <w:color w:val="000000" w:themeColor="text1"/>
        </w:rPr>
        <w:t xml:space="preserve"> </w:t>
      </w:r>
      <w:r w:rsidRPr="003331FF">
        <w:rPr>
          <w:rFonts w:ascii="Helvetica" w:hAnsi="Helvetica"/>
          <w:color w:val="000000" w:themeColor="text1"/>
        </w:rPr>
        <w:t xml:space="preserve">turns to the leadership of MRCC </w:t>
      </w:r>
      <w:r w:rsidR="00530C57" w:rsidRPr="003331FF">
        <w:rPr>
          <w:rFonts w:ascii="Helvetica" w:hAnsi="Helvetica"/>
          <w:color w:val="000000" w:themeColor="text1"/>
        </w:rPr>
        <w:t xml:space="preserve">for </w:t>
      </w:r>
      <w:r w:rsidRPr="003331FF">
        <w:rPr>
          <w:rFonts w:ascii="Helvetica" w:hAnsi="Helvetica"/>
          <w:color w:val="000000" w:themeColor="text1"/>
        </w:rPr>
        <w:t>appoint</w:t>
      </w:r>
      <w:r w:rsidR="00530C57" w:rsidRPr="003331FF">
        <w:rPr>
          <w:rFonts w:ascii="Helvetica" w:hAnsi="Helvetica"/>
          <w:color w:val="000000" w:themeColor="text1"/>
        </w:rPr>
        <w:t>ees for</w:t>
      </w:r>
      <w:r w:rsidRPr="003331FF">
        <w:rPr>
          <w:rFonts w:ascii="Helvetica" w:hAnsi="Helvetica"/>
          <w:color w:val="000000" w:themeColor="text1"/>
        </w:rPr>
        <w:t xml:space="preserve"> </w:t>
      </w:r>
      <w:r w:rsidR="007553AB" w:rsidRPr="003331FF">
        <w:rPr>
          <w:rFonts w:ascii="Helvetica" w:hAnsi="Helvetica"/>
          <w:color w:val="000000" w:themeColor="text1"/>
        </w:rPr>
        <w:t xml:space="preserve">policy making </w:t>
      </w:r>
      <w:r w:rsidRPr="003331FF">
        <w:rPr>
          <w:rFonts w:ascii="Helvetica" w:hAnsi="Helvetica"/>
          <w:color w:val="000000" w:themeColor="text1"/>
        </w:rPr>
        <w:t xml:space="preserve">positions across the state. </w:t>
      </w:r>
      <w:r w:rsidR="00C722D9" w:rsidRPr="003331FF">
        <w:rPr>
          <w:rFonts w:ascii="Helvetica" w:hAnsi="Helvetica"/>
          <w:color w:val="000000" w:themeColor="text1"/>
        </w:rPr>
        <w:t xml:space="preserve">These union </w:t>
      </w:r>
      <w:r w:rsidR="00F611CF">
        <w:rPr>
          <w:rFonts w:ascii="Helvetica" w:hAnsi="Helvetica"/>
          <w:color w:val="000000" w:themeColor="text1"/>
        </w:rPr>
        <w:t>leader</w:t>
      </w:r>
      <w:r w:rsidR="00C722D9" w:rsidRPr="003331FF">
        <w:rPr>
          <w:rFonts w:ascii="Helvetica" w:hAnsi="Helvetica"/>
          <w:color w:val="000000" w:themeColor="text1"/>
        </w:rPr>
        <w:t>s are also</w:t>
      </w:r>
      <w:r w:rsidR="00F611CF">
        <w:rPr>
          <w:rFonts w:ascii="Helvetica" w:hAnsi="Helvetica"/>
          <w:color w:val="000000" w:themeColor="text1"/>
        </w:rPr>
        <w:t xml:space="preserve"> repeatedly</w:t>
      </w:r>
      <w:r w:rsidR="00C722D9" w:rsidRPr="003331FF">
        <w:rPr>
          <w:rFonts w:ascii="Helvetica" w:hAnsi="Helvetica"/>
          <w:color w:val="000000" w:themeColor="text1"/>
        </w:rPr>
        <w:t xml:space="preserve"> chosen to receive millions on taxpayer funding despite ample </w:t>
      </w:r>
      <w:r w:rsidR="00F611CF">
        <w:rPr>
          <w:rFonts w:ascii="Helvetica" w:hAnsi="Helvetica"/>
          <w:color w:val="000000" w:themeColor="text1"/>
        </w:rPr>
        <w:t xml:space="preserve">other </w:t>
      </w:r>
      <w:r w:rsidR="00C722D9" w:rsidRPr="003331FF">
        <w:rPr>
          <w:rFonts w:ascii="Helvetica" w:hAnsi="Helvetica"/>
          <w:color w:val="000000" w:themeColor="text1"/>
        </w:rPr>
        <w:t xml:space="preserve">options for recipients. </w:t>
      </w:r>
      <w:r w:rsidRPr="003331FF">
        <w:rPr>
          <w:rFonts w:ascii="Helvetica" w:hAnsi="Helvetica"/>
          <w:color w:val="000000" w:themeColor="text1"/>
        </w:rPr>
        <w:t xml:space="preserve">Mike Barnwell and Tom Lutz, the top two employees of MRCC, have several </w:t>
      </w:r>
      <w:r w:rsidR="00530C57" w:rsidRPr="003331FF">
        <w:rPr>
          <w:rFonts w:ascii="Helvetica" w:hAnsi="Helvetica"/>
          <w:color w:val="000000" w:themeColor="text1"/>
        </w:rPr>
        <w:t xml:space="preserve">concurrent policy making </w:t>
      </w:r>
      <w:r w:rsidRPr="003331FF">
        <w:rPr>
          <w:rFonts w:ascii="Helvetica" w:hAnsi="Helvetica"/>
          <w:color w:val="000000" w:themeColor="text1"/>
        </w:rPr>
        <w:t>appointments between them.</w:t>
      </w:r>
      <w:r w:rsidRPr="003331FF">
        <w:rPr>
          <w:rStyle w:val="FootnoteReference"/>
          <w:rFonts w:ascii="Helvetica" w:hAnsi="Helvetica"/>
          <w:color w:val="000000" w:themeColor="text1"/>
        </w:rPr>
        <w:footnoteReference w:id="6"/>
      </w:r>
      <w:r w:rsidRPr="003331FF">
        <w:rPr>
          <w:rFonts w:ascii="Helvetica" w:hAnsi="Helvetica"/>
          <w:color w:val="000000" w:themeColor="text1"/>
        </w:rPr>
        <w:t xml:space="preserve"> </w:t>
      </w:r>
    </w:p>
    <w:p w14:paraId="122C0A45" w14:textId="77777777" w:rsidR="00FA6A35" w:rsidRPr="003331FF" w:rsidRDefault="00FA6A35">
      <w:pPr>
        <w:rPr>
          <w:rFonts w:ascii="Helvetica" w:hAnsi="Helvetica"/>
          <w:color w:val="000000" w:themeColor="text1"/>
        </w:rPr>
      </w:pPr>
    </w:p>
    <w:p w14:paraId="7FDC4F5D" w14:textId="04B1157F" w:rsidR="00494BC1" w:rsidRPr="003331FF" w:rsidRDefault="00530C57">
      <w:pPr>
        <w:rPr>
          <w:rFonts w:ascii="Helvetica" w:hAnsi="Helvetica"/>
          <w:color w:val="000000" w:themeColor="text1"/>
        </w:rPr>
      </w:pPr>
      <w:r w:rsidRPr="003331FF">
        <w:rPr>
          <w:rFonts w:ascii="Helvetica" w:hAnsi="Helvetica"/>
          <w:color w:val="000000" w:themeColor="text1"/>
        </w:rPr>
        <w:t xml:space="preserve">Contrary to Lutz’s BOE complaint answer, </w:t>
      </w:r>
      <w:r w:rsidR="00463B89" w:rsidRPr="003331FF">
        <w:rPr>
          <w:rFonts w:ascii="Helvetica" w:hAnsi="Helvetica"/>
          <w:color w:val="000000" w:themeColor="text1"/>
        </w:rPr>
        <w:t>Lut</w:t>
      </w:r>
      <w:r w:rsidR="005A0275" w:rsidRPr="003331FF">
        <w:rPr>
          <w:rFonts w:ascii="Helvetica" w:hAnsi="Helvetica"/>
          <w:color w:val="000000" w:themeColor="text1"/>
        </w:rPr>
        <w:t xml:space="preserve">z </w:t>
      </w:r>
      <w:r w:rsidR="00463B89" w:rsidRPr="003331FF">
        <w:rPr>
          <w:rFonts w:ascii="Helvetica" w:hAnsi="Helvetica"/>
          <w:b/>
          <w:bCs/>
          <w:color w:val="000000" w:themeColor="text1"/>
          <w:u w:val="single"/>
        </w:rPr>
        <w:t>IS</w:t>
      </w:r>
      <w:r w:rsidR="00463B89" w:rsidRPr="003331FF">
        <w:rPr>
          <w:rFonts w:ascii="Helvetica" w:hAnsi="Helvetica"/>
          <w:color w:val="000000" w:themeColor="text1"/>
        </w:rPr>
        <w:t xml:space="preserve"> part of LEO as an appointee to the Workforce Development Board.</w:t>
      </w:r>
      <w:r w:rsidR="00B75F31" w:rsidRPr="003331FF">
        <w:rPr>
          <w:rStyle w:val="FootnoteReference"/>
          <w:rFonts w:ascii="Helvetica" w:hAnsi="Helvetica"/>
          <w:color w:val="000000" w:themeColor="text1"/>
        </w:rPr>
        <w:footnoteReference w:id="7"/>
      </w:r>
      <w:r w:rsidR="00463B89" w:rsidRPr="003331FF">
        <w:rPr>
          <w:rFonts w:ascii="Helvetica" w:hAnsi="Helvetica"/>
          <w:color w:val="000000" w:themeColor="text1"/>
        </w:rPr>
        <w:t xml:space="preserve"> </w:t>
      </w:r>
      <w:r w:rsidRPr="003331FF">
        <w:rPr>
          <w:rFonts w:ascii="Helvetica" w:hAnsi="Helvetica"/>
          <w:color w:val="000000" w:themeColor="text1"/>
        </w:rPr>
        <w:t>The board controls various aspects of workforce development including determining training programs.</w:t>
      </w:r>
      <w:r w:rsidRPr="003331FF">
        <w:rPr>
          <w:rStyle w:val="FootnoteReference"/>
          <w:rFonts w:ascii="Helvetica" w:hAnsi="Helvetica"/>
          <w:color w:val="000000" w:themeColor="text1"/>
        </w:rPr>
        <w:footnoteReference w:id="8"/>
      </w:r>
      <w:r w:rsidRPr="003331FF">
        <w:rPr>
          <w:rFonts w:ascii="Helvetica" w:hAnsi="Helvetica"/>
          <w:color w:val="000000" w:themeColor="text1"/>
        </w:rPr>
        <w:t xml:space="preserve">  </w:t>
      </w:r>
      <w:r w:rsidR="007553AB" w:rsidRPr="003331FF">
        <w:rPr>
          <w:rFonts w:ascii="Helvetica" w:hAnsi="Helvetica"/>
          <w:color w:val="000000" w:themeColor="text1"/>
        </w:rPr>
        <w:t xml:space="preserve">Additionally, despite Lutz’s answer to the BOE complaint, MEDC does administer his SSBCI </w:t>
      </w:r>
      <w:r w:rsidR="00C722D9" w:rsidRPr="003331FF">
        <w:rPr>
          <w:rFonts w:ascii="Helvetica" w:hAnsi="Helvetica"/>
          <w:color w:val="000000" w:themeColor="text1"/>
        </w:rPr>
        <w:t>funding</w:t>
      </w:r>
      <w:r w:rsidR="007553AB" w:rsidRPr="003331FF">
        <w:rPr>
          <w:rFonts w:ascii="Helvetica" w:hAnsi="Helvetica"/>
          <w:color w:val="000000" w:themeColor="text1"/>
        </w:rPr>
        <w:t>.</w:t>
      </w:r>
      <w:r w:rsidR="00C722D9" w:rsidRPr="003331FF">
        <w:rPr>
          <w:rStyle w:val="FootnoteReference"/>
          <w:rFonts w:ascii="Helvetica" w:hAnsi="Helvetica"/>
          <w:color w:val="000000" w:themeColor="text1"/>
        </w:rPr>
        <w:footnoteReference w:id="9"/>
      </w:r>
      <w:r w:rsidR="007553AB" w:rsidRPr="003331FF">
        <w:rPr>
          <w:rFonts w:ascii="Helvetica" w:hAnsi="Helvetica"/>
          <w:color w:val="000000" w:themeColor="text1"/>
        </w:rPr>
        <w:t xml:space="preserve"> </w:t>
      </w:r>
      <w:r w:rsidRPr="003331FF">
        <w:rPr>
          <w:rFonts w:ascii="Helvetica" w:hAnsi="Helvetica"/>
          <w:color w:val="000000" w:themeColor="text1"/>
        </w:rPr>
        <w:t>Though I have submitted ample evidence and details in the Lutz BOE complaint, I regret being ostensibly too vague about Lutz’s Workforce Development Board Position</w:t>
      </w:r>
      <w:r w:rsidR="005A0275" w:rsidRPr="003331FF">
        <w:rPr>
          <w:rFonts w:ascii="Helvetica" w:hAnsi="Helvetica"/>
          <w:color w:val="000000" w:themeColor="text1"/>
        </w:rPr>
        <w:t xml:space="preserve"> with LEO</w:t>
      </w:r>
      <w:r w:rsidRPr="003331FF">
        <w:rPr>
          <w:rFonts w:ascii="Helvetica" w:hAnsi="Helvetica"/>
          <w:color w:val="000000" w:themeColor="text1"/>
        </w:rPr>
        <w:t xml:space="preserve">. </w:t>
      </w:r>
      <w:r w:rsidR="007553AB" w:rsidRPr="003331FF">
        <w:rPr>
          <w:rFonts w:ascii="Helvetica" w:hAnsi="Helvetica"/>
          <w:color w:val="000000" w:themeColor="text1"/>
        </w:rPr>
        <w:t xml:space="preserve">LEO works with MRCC’s </w:t>
      </w:r>
      <w:proofErr w:type="spellStart"/>
      <w:r w:rsidR="007553AB" w:rsidRPr="003331FF">
        <w:rPr>
          <w:rFonts w:ascii="Helvetica" w:hAnsi="Helvetica"/>
          <w:color w:val="000000" w:themeColor="text1"/>
        </w:rPr>
        <w:t>MiSchools</w:t>
      </w:r>
      <w:proofErr w:type="spellEnd"/>
      <w:r w:rsidR="007553AB" w:rsidRPr="003331FF">
        <w:rPr>
          <w:rFonts w:ascii="Helvetica" w:hAnsi="Helvetica"/>
          <w:color w:val="000000" w:themeColor="text1"/>
        </w:rPr>
        <w:t xml:space="preserve"> to Tools grant</w:t>
      </w:r>
      <w:r w:rsidR="005A0275" w:rsidRPr="003331FF">
        <w:rPr>
          <w:rFonts w:ascii="Helvetica" w:hAnsi="Helvetica"/>
          <w:color w:val="000000" w:themeColor="text1"/>
        </w:rPr>
        <w:t xml:space="preserve"> as is demonstrated by the contract I included in the evidence packet. Lutz’s MRCC employee is the registered lobbyist on TPRG, acting on behalf of MRCC. </w:t>
      </w:r>
    </w:p>
    <w:p w14:paraId="7B6ABBC0" w14:textId="77777777" w:rsidR="00BC0A9C" w:rsidRPr="003331FF" w:rsidRDefault="00BC0A9C">
      <w:pPr>
        <w:rPr>
          <w:rFonts w:ascii="Helvetica" w:hAnsi="Helvetica"/>
          <w:color w:val="000000" w:themeColor="text1"/>
        </w:rPr>
      </w:pPr>
    </w:p>
    <w:p w14:paraId="5917141D" w14:textId="1B219C21" w:rsidR="00F611CF" w:rsidRDefault="00BC0A9C">
      <w:pPr>
        <w:rPr>
          <w:rFonts w:ascii="Helvetica" w:hAnsi="Helvetica"/>
          <w:color w:val="000000" w:themeColor="text1"/>
        </w:rPr>
      </w:pPr>
      <w:r w:rsidRPr="003331FF">
        <w:rPr>
          <w:rFonts w:ascii="Helvetica" w:hAnsi="Helvetica"/>
          <w:color w:val="000000" w:themeColor="text1"/>
        </w:rPr>
        <w:t xml:space="preserve">Lutz’s organization did not </w:t>
      </w:r>
      <w:r w:rsidR="00295466" w:rsidRPr="003331FF">
        <w:rPr>
          <w:rFonts w:ascii="Helvetica" w:hAnsi="Helvetica"/>
          <w:color w:val="000000" w:themeColor="text1"/>
        </w:rPr>
        <w:t>coincidentally</w:t>
      </w:r>
      <w:r w:rsidRPr="003331FF">
        <w:rPr>
          <w:rFonts w:ascii="Helvetica" w:hAnsi="Helvetica"/>
          <w:color w:val="000000" w:themeColor="text1"/>
        </w:rPr>
        <w:t xml:space="preserve"> get $5 Million worth of funding from </w:t>
      </w:r>
      <w:proofErr w:type="gramStart"/>
      <w:r w:rsidRPr="003331FF">
        <w:rPr>
          <w:rFonts w:ascii="Helvetica" w:hAnsi="Helvetica"/>
          <w:color w:val="000000" w:themeColor="text1"/>
        </w:rPr>
        <w:t>both of the boards</w:t>
      </w:r>
      <w:proofErr w:type="gramEnd"/>
      <w:r w:rsidRPr="003331FF">
        <w:rPr>
          <w:rFonts w:ascii="Helvetica" w:hAnsi="Helvetica"/>
          <w:color w:val="000000" w:themeColor="text1"/>
        </w:rPr>
        <w:t xml:space="preserve"> he </w:t>
      </w:r>
      <w:r w:rsidR="005A0275" w:rsidRPr="003331FF">
        <w:rPr>
          <w:rFonts w:ascii="Helvetica" w:hAnsi="Helvetica"/>
          <w:color w:val="000000" w:themeColor="text1"/>
        </w:rPr>
        <w:t xml:space="preserve">is </w:t>
      </w:r>
      <w:r w:rsidRPr="003331FF">
        <w:rPr>
          <w:rFonts w:ascii="Helvetica" w:hAnsi="Helvetica"/>
          <w:color w:val="000000" w:themeColor="text1"/>
        </w:rPr>
        <w:t xml:space="preserve">appointed to. </w:t>
      </w:r>
      <w:r w:rsidR="002C4362" w:rsidRPr="003331FF">
        <w:rPr>
          <w:rFonts w:ascii="Helvetica" w:hAnsi="Helvetica"/>
          <w:color w:val="000000" w:themeColor="text1"/>
        </w:rPr>
        <w:t xml:space="preserve">The BOE may invite witnesses and investigate MRCC, as it is empowered to. </w:t>
      </w:r>
      <w:r w:rsidR="000441CB" w:rsidRPr="003331FF">
        <w:rPr>
          <w:rFonts w:ascii="Helvetica" w:hAnsi="Helvetica"/>
          <w:color w:val="000000" w:themeColor="text1"/>
        </w:rPr>
        <w:t>Last year, w</w:t>
      </w:r>
      <w:r w:rsidR="00C722D9" w:rsidRPr="003331FF">
        <w:rPr>
          <w:rFonts w:ascii="Helvetica" w:hAnsi="Helvetica"/>
          <w:color w:val="000000" w:themeColor="text1"/>
        </w:rPr>
        <w:t xml:space="preserve">hen the BOE was faced with the question of whether Deb </w:t>
      </w:r>
      <w:proofErr w:type="spellStart"/>
      <w:r w:rsidR="00C722D9" w:rsidRPr="003331FF">
        <w:rPr>
          <w:rFonts w:ascii="Helvetica" w:hAnsi="Helvetica"/>
          <w:color w:val="000000" w:themeColor="text1"/>
        </w:rPr>
        <w:t>Mikula</w:t>
      </w:r>
      <w:proofErr w:type="spellEnd"/>
      <w:r w:rsidR="00C722D9" w:rsidRPr="003331FF">
        <w:rPr>
          <w:rFonts w:ascii="Helvetica" w:hAnsi="Helvetica"/>
          <w:color w:val="000000" w:themeColor="text1"/>
        </w:rPr>
        <w:t xml:space="preserve"> paid her own salary with MACC grants funds, the board chose to not even ask </w:t>
      </w:r>
      <w:r w:rsidR="00C722D9" w:rsidRPr="003331FF">
        <w:rPr>
          <w:rFonts w:ascii="Helvetica" w:hAnsi="Helvetica"/>
          <w:color w:val="000000" w:themeColor="text1"/>
        </w:rPr>
        <w:lastRenderedPageBreak/>
        <w:t>the question</w:t>
      </w:r>
      <w:r w:rsidR="002C4362" w:rsidRPr="003331FF">
        <w:rPr>
          <w:rFonts w:ascii="Helvetica" w:hAnsi="Helvetica"/>
          <w:color w:val="000000" w:themeColor="text1"/>
        </w:rPr>
        <w:t xml:space="preserve">. </w:t>
      </w:r>
      <w:r w:rsidR="00F611CF">
        <w:rPr>
          <w:rFonts w:ascii="Helvetica" w:hAnsi="Helvetica"/>
          <w:color w:val="000000" w:themeColor="text1"/>
        </w:rPr>
        <w:t>Of course</w:t>
      </w:r>
      <w:r w:rsidR="00963DD7">
        <w:rPr>
          <w:rFonts w:ascii="Helvetica" w:hAnsi="Helvetica"/>
          <w:color w:val="000000" w:themeColor="text1"/>
        </w:rPr>
        <w:t>,</w:t>
      </w:r>
      <w:r w:rsidR="00F611CF">
        <w:rPr>
          <w:rFonts w:ascii="Helvetica" w:hAnsi="Helvetica"/>
          <w:color w:val="000000" w:themeColor="text1"/>
        </w:rPr>
        <w:t xml:space="preserve"> </w:t>
      </w:r>
      <w:proofErr w:type="spellStart"/>
      <w:r w:rsidR="00F611CF">
        <w:rPr>
          <w:rFonts w:ascii="Helvetica" w:hAnsi="Helvetica"/>
          <w:color w:val="000000" w:themeColor="text1"/>
        </w:rPr>
        <w:t>Mikula</w:t>
      </w:r>
      <w:proofErr w:type="spellEnd"/>
      <w:r w:rsidR="00F611CF">
        <w:rPr>
          <w:rFonts w:ascii="Helvetica" w:hAnsi="Helvetica"/>
          <w:color w:val="000000" w:themeColor="text1"/>
        </w:rPr>
        <w:t xml:space="preserve"> paid herself tens of thousands </w:t>
      </w:r>
      <w:r w:rsidR="00E915A6">
        <w:rPr>
          <w:rFonts w:ascii="Helvetica" w:hAnsi="Helvetica"/>
          <w:color w:val="000000" w:themeColor="text1"/>
        </w:rPr>
        <w:t xml:space="preserve">in taxpayer funded MACC </w:t>
      </w:r>
      <w:r w:rsidR="00F611CF">
        <w:rPr>
          <w:rFonts w:ascii="Helvetica" w:hAnsi="Helvetica"/>
          <w:color w:val="000000" w:themeColor="text1"/>
        </w:rPr>
        <w:t xml:space="preserve">dollars despite not doing ANY art programming. </w:t>
      </w:r>
    </w:p>
    <w:p w14:paraId="665E55E8" w14:textId="77777777" w:rsidR="00F611CF" w:rsidRDefault="00F611CF">
      <w:pPr>
        <w:rPr>
          <w:rFonts w:ascii="Helvetica" w:hAnsi="Helvetica"/>
          <w:color w:val="000000" w:themeColor="text1"/>
        </w:rPr>
      </w:pPr>
    </w:p>
    <w:p w14:paraId="6127CC76" w14:textId="5DDF8006" w:rsidR="00BC0A9C" w:rsidRPr="003331FF" w:rsidRDefault="00F611CF">
      <w:pPr>
        <w:rPr>
          <w:rFonts w:ascii="Helvetica" w:hAnsi="Helvetica"/>
          <w:color w:val="000000" w:themeColor="text1"/>
        </w:rPr>
      </w:pPr>
      <w:r>
        <w:rPr>
          <w:rFonts w:ascii="Helvetica" w:hAnsi="Helvetica"/>
          <w:color w:val="000000" w:themeColor="text1"/>
        </w:rPr>
        <w:t xml:space="preserve">On behalf of the </w:t>
      </w:r>
      <w:r w:rsidR="00507E3E">
        <w:rPr>
          <w:rFonts w:ascii="Helvetica" w:hAnsi="Helvetica"/>
          <w:color w:val="000000" w:themeColor="text1"/>
        </w:rPr>
        <w:t xml:space="preserve">Michiganders who are incarcerated </w:t>
      </w:r>
      <w:r w:rsidR="00E915A6">
        <w:rPr>
          <w:rFonts w:ascii="Helvetica" w:hAnsi="Helvetica"/>
          <w:color w:val="000000" w:themeColor="text1"/>
        </w:rPr>
        <w:t xml:space="preserve">and accounting </w:t>
      </w:r>
      <w:r w:rsidR="00507E3E">
        <w:rPr>
          <w:rFonts w:ascii="Helvetica" w:hAnsi="Helvetica"/>
          <w:color w:val="000000" w:themeColor="text1"/>
        </w:rPr>
        <w:t>for</w:t>
      </w:r>
      <w:r w:rsidR="00507E3E" w:rsidRPr="00E915A6">
        <w:rPr>
          <w:rFonts w:ascii="Helvetica" w:hAnsi="Helvetica"/>
          <w:i/>
          <w:iCs/>
          <w:color w:val="000000" w:themeColor="text1"/>
        </w:rPr>
        <w:t xml:space="preserve"> their</w:t>
      </w:r>
      <w:r w:rsidR="00E915A6">
        <w:rPr>
          <w:rFonts w:ascii="Helvetica" w:hAnsi="Helvetica"/>
          <w:color w:val="000000" w:themeColor="text1"/>
        </w:rPr>
        <w:t xml:space="preserve"> </w:t>
      </w:r>
      <w:r w:rsidR="00507E3E">
        <w:rPr>
          <w:rFonts w:ascii="Helvetica" w:hAnsi="Helvetica"/>
          <w:color w:val="000000" w:themeColor="text1"/>
        </w:rPr>
        <w:t>crimes</w:t>
      </w:r>
      <w:r w:rsidR="00E915A6">
        <w:rPr>
          <w:rFonts w:ascii="Helvetica" w:hAnsi="Helvetica"/>
          <w:color w:val="000000" w:themeColor="text1"/>
        </w:rPr>
        <w:t xml:space="preserve"> (which are miniscule compared to the scope of the crimes in my complaint)</w:t>
      </w:r>
      <w:r w:rsidR="00507E3E">
        <w:rPr>
          <w:rFonts w:ascii="Helvetica" w:hAnsi="Helvetica"/>
          <w:color w:val="000000" w:themeColor="text1"/>
        </w:rPr>
        <w:t xml:space="preserve">, </w:t>
      </w:r>
      <w:r w:rsidR="00E915A6">
        <w:rPr>
          <w:rFonts w:ascii="Helvetica" w:hAnsi="Helvetica"/>
          <w:color w:val="000000" w:themeColor="text1"/>
        </w:rPr>
        <w:t xml:space="preserve">on behalf of the </w:t>
      </w:r>
      <w:r w:rsidR="00963DD7">
        <w:rPr>
          <w:rFonts w:ascii="Helvetica" w:hAnsi="Helvetica"/>
          <w:color w:val="000000" w:themeColor="text1"/>
        </w:rPr>
        <w:t>Michigan taxpayers</w:t>
      </w:r>
      <w:r w:rsidR="00507E3E">
        <w:rPr>
          <w:rFonts w:ascii="Helvetica" w:hAnsi="Helvetica"/>
          <w:color w:val="000000" w:themeColor="text1"/>
        </w:rPr>
        <w:t xml:space="preserve"> who cannot make ends meet, for t</w:t>
      </w:r>
      <w:r w:rsidR="00963DD7">
        <w:rPr>
          <w:rFonts w:ascii="Helvetica" w:hAnsi="Helvetica"/>
          <w:color w:val="000000" w:themeColor="text1"/>
        </w:rPr>
        <w:t xml:space="preserve">hose </w:t>
      </w:r>
      <w:r w:rsidR="00507E3E">
        <w:rPr>
          <w:rFonts w:ascii="Helvetica" w:hAnsi="Helvetica"/>
          <w:color w:val="000000" w:themeColor="text1"/>
        </w:rPr>
        <w:t>who do not know all the ways their government is stealing from them, p</w:t>
      </w:r>
      <w:r w:rsidR="002C4362" w:rsidRPr="003331FF">
        <w:rPr>
          <w:rFonts w:ascii="Helvetica" w:hAnsi="Helvetica"/>
          <w:color w:val="000000" w:themeColor="text1"/>
        </w:rPr>
        <w:t>lease investigate this case thoroughly</w:t>
      </w:r>
      <w:r w:rsidR="00E915A6">
        <w:rPr>
          <w:rFonts w:ascii="Helvetica" w:hAnsi="Helvetica"/>
          <w:color w:val="000000" w:themeColor="text1"/>
        </w:rPr>
        <w:t xml:space="preserve">. </w:t>
      </w:r>
      <w:r w:rsidR="00C722D9" w:rsidRPr="003331FF">
        <w:rPr>
          <w:rFonts w:ascii="Helvetica" w:hAnsi="Helvetica"/>
          <w:color w:val="000000" w:themeColor="text1"/>
        </w:rPr>
        <w:t xml:space="preserve">The </w:t>
      </w:r>
      <w:r w:rsidR="00507E3E">
        <w:rPr>
          <w:rFonts w:ascii="Helvetica" w:hAnsi="Helvetica"/>
          <w:color w:val="000000" w:themeColor="text1"/>
        </w:rPr>
        <w:t xml:space="preserve">overwhelming </w:t>
      </w:r>
      <w:r w:rsidR="00C722D9" w:rsidRPr="003331FF">
        <w:rPr>
          <w:rFonts w:ascii="Helvetica" w:hAnsi="Helvetica"/>
          <w:color w:val="000000" w:themeColor="text1"/>
        </w:rPr>
        <w:t xml:space="preserve">majority of </w:t>
      </w:r>
      <w:r w:rsidR="002C4362" w:rsidRPr="003331FF">
        <w:rPr>
          <w:rFonts w:ascii="Helvetica" w:hAnsi="Helvetica"/>
          <w:color w:val="000000" w:themeColor="text1"/>
        </w:rPr>
        <w:t xml:space="preserve">Michigan </w:t>
      </w:r>
      <w:r w:rsidR="00C722D9" w:rsidRPr="003331FF">
        <w:rPr>
          <w:rFonts w:ascii="Helvetica" w:hAnsi="Helvetica"/>
          <w:color w:val="000000" w:themeColor="text1"/>
        </w:rPr>
        <w:t>ethics complaints are dismissed because the process is esoteric and requires significant legal knowledge</w:t>
      </w:r>
      <w:r w:rsidR="000441CB" w:rsidRPr="003331FF">
        <w:rPr>
          <w:rFonts w:ascii="Helvetica" w:hAnsi="Helvetica"/>
          <w:color w:val="000000" w:themeColor="text1"/>
        </w:rPr>
        <w:t xml:space="preserve"> </w:t>
      </w:r>
      <w:r w:rsidR="002C4362" w:rsidRPr="003331FF">
        <w:rPr>
          <w:rFonts w:ascii="Helvetica" w:hAnsi="Helvetica"/>
          <w:color w:val="000000" w:themeColor="text1"/>
        </w:rPr>
        <w:t xml:space="preserve">that </w:t>
      </w:r>
      <w:r w:rsidR="000441CB" w:rsidRPr="003331FF">
        <w:rPr>
          <w:rFonts w:ascii="Helvetica" w:hAnsi="Helvetica"/>
          <w:color w:val="000000" w:themeColor="text1"/>
        </w:rPr>
        <w:t xml:space="preserve">the </w:t>
      </w:r>
      <w:proofErr w:type="gramStart"/>
      <w:r w:rsidR="000441CB" w:rsidRPr="003331FF">
        <w:rPr>
          <w:rFonts w:ascii="Helvetica" w:hAnsi="Helvetica"/>
          <w:color w:val="000000" w:themeColor="text1"/>
        </w:rPr>
        <w:t>general public</w:t>
      </w:r>
      <w:proofErr w:type="gramEnd"/>
      <w:r w:rsidR="000441CB" w:rsidRPr="003331FF">
        <w:rPr>
          <w:rFonts w:ascii="Helvetica" w:hAnsi="Helvetica"/>
          <w:color w:val="000000" w:themeColor="text1"/>
        </w:rPr>
        <w:t xml:space="preserve"> </w:t>
      </w:r>
      <w:r w:rsidR="000441CB" w:rsidRPr="00F611CF">
        <w:rPr>
          <w:rFonts w:ascii="Helvetica" w:hAnsi="Helvetica"/>
          <w:color w:val="000000" w:themeColor="text1"/>
        </w:rPr>
        <w:t>does</w:t>
      </w:r>
      <w:r w:rsidR="000441CB" w:rsidRPr="003331FF">
        <w:rPr>
          <w:rFonts w:ascii="Helvetica" w:hAnsi="Helvetica"/>
          <w:color w:val="000000" w:themeColor="text1"/>
        </w:rPr>
        <w:t xml:space="preserve"> not possess. </w:t>
      </w:r>
      <w:r w:rsidR="009E467A">
        <w:rPr>
          <w:rFonts w:ascii="Helvetica" w:hAnsi="Helvetica"/>
          <w:color w:val="000000" w:themeColor="text1"/>
        </w:rPr>
        <w:t xml:space="preserve">One such </w:t>
      </w:r>
      <w:r w:rsidR="00E915A6">
        <w:rPr>
          <w:rFonts w:ascii="Helvetica" w:hAnsi="Helvetica"/>
          <w:color w:val="000000" w:themeColor="text1"/>
        </w:rPr>
        <w:t xml:space="preserve">recent </w:t>
      </w:r>
      <w:r w:rsidR="009E467A">
        <w:rPr>
          <w:rFonts w:ascii="Helvetica" w:hAnsi="Helvetica"/>
          <w:color w:val="000000" w:themeColor="text1"/>
        </w:rPr>
        <w:t>dismissal was the SEIU/Jennifer Root complaint. Since that dismissal</w:t>
      </w:r>
      <w:r w:rsidR="00C56BB7">
        <w:rPr>
          <w:rFonts w:ascii="Helvetica" w:hAnsi="Helvetica"/>
          <w:color w:val="000000" w:themeColor="text1"/>
        </w:rPr>
        <w:t>,</w:t>
      </w:r>
      <w:r w:rsidR="009E467A">
        <w:rPr>
          <w:rFonts w:ascii="Helvetica" w:hAnsi="Helvetica"/>
          <w:color w:val="000000" w:themeColor="text1"/>
        </w:rPr>
        <w:t xml:space="preserve"> SEIU </w:t>
      </w:r>
      <w:r w:rsidR="00C56BB7">
        <w:rPr>
          <w:rFonts w:ascii="Helvetica" w:hAnsi="Helvetica"/>
          <w:color w:val="000000" w:themeColor="text1"/>
        </w:rPr>
        <w:t xml:space="preserve">is poised to receive millions in </w:t>
      </w:r>
      <w:r w:rsidR="009E467A">
        <w:rPr>
          <w:rFonts w:ascii="Helvetica" w:hAnsi="Helvetica"/>
          <w:color w:val="000000" w:themeColor="text1"/>
        </w:rPr>
        <w:t xml:space="preserve">home health worker employer funding </w:t>
      </w:r>
      <w:r w:rsidR="0003002F">
        <w:rPr>
          <w:rFonts w:ascii="Helvetica" w:hAnsi="Helvetica"/>
          <w:color w:val="000000" w:themeColor="text1"/>
        </w:rPr>
        <w:t>from Medicaid</w:t>
      </w:r>
      <w:r w:rsidR="009E467A">
        <w:rPr>
          <w:rFonts w:ascii="Helvetica" w:hAnsi="Helvetica"/>
          <w:color w:val="000000" w:themeColor="text1"/>
        </w:rPr>
        <w:t>.</w:t>
      </w:r>
      <w:r w:rsidR="0003002F">
        <w:rPr>
          <w:rStyle w:val="FootnoteReference"/>
          <w:rFonts w:ascii="Helvetica" w:hAnsi="Helvetica"/>
          <w:color w:val="000000" w:themeColor="text1"/>
        </w:rPr>
        <w:footnoteReference w:id="10"/>
      </w:r>
      <w:r w:rsidR="009E467A">
        <w:rPr>
          <w:rFonts w:ascii="Helvetica" w:hAnsi="Helvetica"/>
          <w:color w:val="000000" w:themeColor="text1"/>
        </w:rPr>
        <w:t xml:space="preserve"> </w:t>
      </w:r>
      <w:r w:rsidR="000441CB" w:rsidRPr="003331FF">
        <w:rPr>
          <w:rFonts w:ascii="Helvetica" w:hAnsi="Helvetica"/>
          <w:color w:val="000000" w:themeColor="text1"/>
        </w:rPr>
        <w:t>Even</w:t>
      </w:r>
      <w:r w:rsidR="00C722D9" w:rsidRPr="003331FF">
        <w:rPr>
          <w:rFonts w:ascii="Helvetica" w:hAnsi="Helvetica"/>
          <w:color w:val="000000" w:themeColor="text1"/>
        </w:rPr>
        <w:t xml:space="preserve"> once </w:t>
      </w:r>
      <w:r w:rsidR="00E915A6">
        <w:rPr>
          <w:rFonts w:ascii="Helvetica" w:hAnsi="Helvetica"/>
          <w:color w:val="000000" w:themeColor="text1"/>
        </w:rPr>
        <w:t>a</w:t>
      </w:r>
      <w:r w:rsidR="00C722D9" w:rsidRPr="003331FF">
        <w:rPr>
          <w:rFonts w:ascii="Helvetica" w:hAnsi="Helvetica"/>
          <w:color w:val="000000" w:themeColor="text1"/>
        </w:rPr>
        <w:t xml:space="preserve"> </w:t>
      </w:r>
      <w:r w:rsidR="00C56BB7">
        <w:rPr>
          <w:rFonts w:ascii="Helvetica" w:hAnsi="Helvetica"/>
          <w:color w:val="000000" w:themeColor="text1"/>
        </w:rPr>
        <w:t xml:space="preserve">BOE </w:t>
      </w:r>
      <w:r w:rsidR="00C722D9" w:rsidRPr="003331FF">
        <w:rPr>
          <w:rFonts w:ascii="Helvetica" w:hAnsi="Helvetica"/>
          <w:color w:val="000000" w:themeColor="text1"/>
        </w:rPr>
        <w:t>complaint passes muster</w:t>
      </w:r>
      <w:r w:rsidR="00507E3E">
        <w:rPr>
          <w:rFonts w:ascii="Helvetica" w:hAnsi="Helvetica"/>
          <w:color w:val="000000" w:themeColor="text1"/>
        </w:rPr>
        <w:t>,</w:t>
      </w:r>
      <w:r w:rsidR="00C722D9" w:rsidRPr="003331FF">
        <w:rPr>
          <w:rFonts w:ascii="Helvetica" w:hAnsi="Helvetica"/>
          <w:color w:val="000000" w:themeColor="text1"/>
        </w:rPr>
        <w:t xml:space="preserve"> </w:t>
      </w:r>
      <w:r w:rsidR="00C56BB7">
        <w:rPr>
          <w:rFonts w:ascii="Helvetica" w:hAnsi="Helvetica"/>
          <w:color w:val="000000" w:themeColor="text1"/>
        </w:rPr>
        <w:t xml:space="preserve">the </w:t>
      </w:r>
      <w:r w:rsidR="000441CB" w:rsidRPr="003331FF">
        <w:rPr>
          <w:rFonts w:ascii="Helvetica" w:hAnsi="Helvetica"/>
          <w:color w:val="000000" w:themeColor="text1"/>
        </w:rPr>
        <w:t xml:space="preserve">system </w:t>
      </w:r>
      <w:r w:rsidR="00C56BB7">
        <w:rPr>
          <w:rFonts w:ascii="Helvetica" w:hAnsi="Helvetica"/>
          <w:color w:val="000000" w:themeColor="text1"/>
        </w:rPr>
        <w:t>does much to</w:t>
      </w:r>
      <w:r w:rsidR="000441CB" w:rsidRPr="003331FF">
        <w:rPr>
          <w:rFonts w:ascii="Helvetica" w:hAnsi="Helvetica"/>
          <w:color w:val="000000" w:themeColor="text1"/>
        </w:rPr>
        <w:t xml:space="preserve"> </w:t>
      </w:r>
      <w:r w:rsidR="005A0275" w:rsidRPr="003331FF">
        <w:rPr>
          <w:rFonts w:ascii="Helvetica" w:hAnsi="Helvetica"/>
          <w:color w:val="000000" w:themeColor="text1"/>
        </w:rPr>
        <w:t>protect potential culprits</w:t>
      </w:r>
      <w:r w:rsidR="00C56BB7">
        <w:rPr>
          <w:rFonts w:ascii="Helvetica" w:hAnsi="Helvetica"/>
          <w:color w:val="000000" w:themeColor="text1"/>
        </w:rPr>
        <w:t xml:space="preserve"> including providing them with attorneys</w:t>
      </w:r>
      <w:r w:rsidR="005A0275" w:rsidRPr="003331FF">
        <w:rPr>
          <w:rFonts w:ascii="Helvetica" w:hAnsi="Helvetica"/>
          <w:color w:val="000000" w:themeColor="text1"/>
        </w:rPr>
        <w:t xml:space="preserve">. The public deserves a robust investigation </w:t>
      </w:r>
      <w:r w:rsidR="000441CB" w:rsidRPr="003331FF">
        <w:rPr>
          <w:rFonts w:ascii="Helvetica" w:hAnsi="Helvetica"/>
          <w:color w:val="000000" w:themeColor="text1"/>
        </w:rPr>
        <w:t>(</w:t>
      </w:r>
      <w:r w:rsidR="005A0275" w:rsidRPr="003331FF">
        <w:rPr>
          <w:rFonts w:ascii="Helvetica" w:hAnsi="Helvetica"/>
          <w:color w:val="000000" w:themeColor="text1"/>
        </w:rPr>
        <w:t>not led by a single taxpayer</w:t>
      </w:r>
      <w:r w:rsidR="000441CB" w:rsidRPr="003331FF">
        <w:rPr>
          <w:rFonts w:ascii="Helvetica" w:hAnsi="Helvetica"/>
          <w:color w:val="000000" w:themeColor="text1"/>
        </w:rPr>
        <w:t>)</w:t>
      </w:r>
      <w:r w:rsidR="005A0275" w:rsidRPr="003331FF">
        <w:rPr>
          <w:rFonts w:ascii="Helvetica" w:hAnsi="Helvetica"/>
          <w:color w:val="000000" w:themeColor="text1"/>
        </w:rPr>
        <w:t xml:space="preserve">. </w:t>
      </w:r>
      <w:r w:rsidR="002C4362" w:rsidRPr="003331FF">
        <w:rPr>
          <w:rFonts w:ascii="Helvetica" w:hAnsi="Helvetica"/>
          <w:color w:val="000000" w:themeColor="text1"/>
        </w:rPr>
        <w:t>Th</w:t>
      </w:r>
      <w:r>
        <w:rPr>
          <w:rFonts w:ascii="Helvetica" w:hAnsi="Helvetica"/>
          <w:color w:val="000000" w:themeColor="text1"/>
        </w:rPr>
        <w:t>e</w:t>
      </w:r>
      <w:r w:rsidR="002C4362" w:rsidRPr="003331FF">
        <w:rPr>
          <w:rFonts w:ascii="Helvetica" w:hAnsi="Helvetica"/>
          <w:color w:val="000000" w:themeColor="text1"/>
        </w:rPr>
        <w:t xml:space="preserve"> BOE process</w:t>
      </w:r>
      <w:r w:rsidR="002C4362" w:rsidRPr="00507E3E">
        <w:rPr>
          <w:rFonts w:ascii="Helvetica" w:hAnsi="Helvetica"/>
          <w:i/>
          <w:iCs/>
          <w:color w:val="000000" w:themeColor="text1"/>
        </w:rPr>
        <w:t xml:space="preserve"> can</w:t>
      </w:r>
      <w:r w:rsidR="002C4362" w:rsidRPr="003331FF">
        <w:rPr>
          <w:rFonts w:ascii="Helvetica" w:hAnsi="Helvetica"/>
          <w:color w:val="000000" w:themeColor="text1"/>
        </w:rPr>
        <w:t xml:space="preserve"> be a </w:t>
      </w:r>
      <w:proofErr w:type="gramStart"/>
      <w:r w:rsidR="002C4362" w:rsidRPr="003331FF">
        <w:rPr>
          <w:rFonts w:ascii="Helvetica" w:hAnsi="Helvetica"/>
          <w:color w:val="000000" w:themeColor="text1"/>
        </w:rPr>
        <w:t>low</w:t>
      </w:r>
      <w:r>
        <w:rPr>
          <w:rFonts w:ascii="Helvetica" w:hAnsi="Helvetica"/>
          <w:color w:val="000000" w:themeColor="text1"/>
        </w:rPr>
        <w:t>-</w:t>
      </w:r>
      <w:r w:rsidR="002C4362" w:rsidRPr="003331FF">
        <w:rPr>
          <w:rFonts w:ascii="Helvetica" w:hAnsi="Helvetica"/>
          <w:color w:val="000000" w:themeColor="text1"/>
        </w:rPr>
        <w:t>stakes</w:t>
      </w:r>
      <w:proofErr w:type="gramEnd"/>
      <w:r w:rsidR="002C4362" w:rsidRPr="003331FF">
        <w:rPr>
          <w:rFonts w:ascii="Helvetica" w:hAnsi="Helvetica"/>
          <w:color w:val="000000" w:themeColor="text1"/>
        </w:rPr>
        <w:t xml:space="preserve"> means to curb Michigan’s corruption. </w:t>
      </w:r>
      <w:r>
        <w:rPr>
          <w:rFonts w:ascii="Helvetica" w:hAnsi="Helvetica"/>
          <w:color w:val="000000" w:themeColor="text1"/>
        </w:rPr>
        <w:t xml:space="preserve">The cruelty of Michigan’s persistent cronyism is profound, preventable, and up to the BOE to discourage. </w:t>
      </w:r>
    </w:p>
    <w:p w14:paraId="6BDEF618" w14:textId="77777777" w:rsidR="00194AB6" w:rsidRPr="003331FF" w:rsidRDefault="00194AB6">
      <w:pPr>
        <w:rPr>
          <w:rFonts w:ascii="Helvetica" w:hAnsi="Helvetica"/>
          <w:color w:val="000000" w:themeColor="text1"/>
        </w:rPr>
      </w:pPr>
    </w:p>
    <w:p w14:paraId="3B191413" w14:textId="1B5BC196" w:rsidR="00194AB6" w:rsidRPr="003331FF" w:rsidRDefault="00194AB6">
      <w:pPr>
        <w:rPr>
          <w:rFonts w:ascii="Helvetica" w:hAnsi="Helvetica"/>
          <w:color w:val="000000" w:themeColor="text1"/>
        </w:rPr>
      </w:pPr>
      <w:r w:rsidRPr="003331FF">
        <w:rPr>
          <w:rFonts w:ascii="Helvetica" w:hAnsi="Helvetica"/>
          <w:noProof/>
          <w:color w:val="000000" w:themeColor="text1"/>
        </w:rPr>
        <w:drawing>
          <wp:inline distT="0" distB="0" distL="0" distR="0" wp14:anchorId="2A1E4E0B" wp14:editId="2EDCA0CC">
            <wp:extent cx="5943600" cy="1282065"/>
            <wp:effectExtent l="0" t="0" r="0" b="635"/>
            <wp:docPr id="2064982188"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82188" name="Picture 1" descr="A close-up of a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82065"/>
                    </a:xfrm>
                    <a:prstGeom prst="rect">
                      <a:avLst/>
                    </a:prstGeom>
                  </pic:spPr>
                </pic:pic>
              </a:graphicData>
            </a:graphic>
          </wp:inline>
        </w:drawing>
      </w:r>
    </w:p>
    <w:p w14:paraId="6742EC6A" w14:textId="77777777" w:rsidR="00194AB6" w:rsidRPr="003331FF" w:rsidRDefault="00194AB6">
      <w:pPr>
        <w:rPr>
          <w:rFonts w:ascii="Helvetica" w:hAnsi="Helvetica"/>
          <w:color w:val="000000" w:themeColor="text1"/>
        </w:rPr>
      </w:pPr>
    </w:p>
    <w:p w14:paraId="7971F81A" w14:textId="77777777" w:rsidR="00194AB6" w:rsidRPr="003331FF" w:rsidRDefault="00194AB6">
      <w:pPr>
        <w:rPr>
          <w:rFonts w:ascii="Helvetica" w:hAnsi="Helvetica"/>
          <w:color w:val="000000" w:themeColor="text1"/>
        </w:rPr>
      </w:pPr>
    </w:p>
    <w:p w14:paraId="69AAB57E" w14:textId="34621492" w:rsidR="00194AB6" w:rsidRPr="003331FF" w:rsidRDefault="00194AB6">
      <w:pPr>
        <w:rPr>
          <w:rFonts w:ascii="Helvetica" w:hAnsi="Helvetica"/>
          <w:color w:val="000000" w:themeColor="text1"/>
        </w:rPr>
      </w:pPr>
      <w:r w:rsidRPr="003331FF">
        <w:rPr>
          <w:rFonts w:ascii="Helvetica" w:hAnsi="Helvetica"/>
          <w:noProof/>
          <w:color w:val="000000" w:themeColor="text1"/>
        </w:rPr>
        <w:lastRenderedPageBreak/>
        <w:drawing>
          <wp:inline distT="0" distB="0" distL="0" distR="0" wp14:anchorId="431375FE" wp14:editId="353DDA1D">
            <wp:extent cx="5943600" cy="3568065"/>
            <wp:effectExtent l="0" t="0" r="0" b="635"/>
            <wp:docPr id="1720866162"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66162" name="Picture 3" descr="A screenshot of a docu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568065"/>
                    </a:xfrm>
                    <a:prstGeom prst="rect">
                      <a:avLst/>
                    </a:prstGeom>
                  </pic:spPr>
                </pic:pic>
              </a:graphicData>
            </a:graphic>
          </wp:inline>
        </w:drawing>
      </w:r>
      <w:r w:rsidRPr="003331FF">
        <w:rPr>
          <w:rStyle w:val="FootnoteReference"/>
          <w:rFonts w:ascii="Helvetica" w:hAnsi="Helvetica"/>
          <w:color w:val="000000" w:themeColor="text1"/>
        </w:rPr>
        <w:footnoteReference w:id="11"/>
      </w:r>
    </w:p>
    <w:p w14:paraId="371EAD4D" w14:textId="77777777" w:rsidR="00194AB6" w:rsidRPr="003331FF" w:rsidRDefault="00194AB6">
      <w:pPr>
        <w:rPr>
          <w:rFonts w:ascii="Helvetica" w:hAnsi="Helvetica"/>
          <w:color w:val="000000" w:themeColor="text1"/>
        </w:rPr>
      </w:pPr>
    </w:p>
    <w:p w14:paraId="0EEB075F" w14:textId="77777777" w:rsidR="00194AB6" w:rsidRPr="003331FF" w:rsidRDefault="00194AB6">
      <w:pPr>
        <w:rPr>
          <w:rFonts w:ascii="Helvetica" w:hAnsi="Helvetica"/>
          <w:color w:val="000000" w:themeColor="text1"/>
        </w:rPr>
      </w:pPr>
    </w:p>
    <w:p w14:paraId="76B2B3E1" w14:textId="2EEB2B5B" w:rsidR="00194AB6" w:rsidRPr="003331FF" w:rsidRDefault="00194AB6">
      <w:pPr>
        <w:rPr>
          <w:rFonts w:ascii="Helvetica" w:hAnsi="Helvetica"/>
          <w:color w:val="000000" w:themeColor="text1"/>
        </w:rPr>
      </w:pPr>
      <w:r w:rsidRPr="003331FF">
        <w:rPr>
          <w:rFonts w:ascii="Helvetica" w:hAnsi="Helvetica"/>
          <w:noProof/>
          <w:color w:val="000000" w:themeColor="text1"/>
        </w:rPr>
        <w:drawing>
          <wp:inline distT="0" distB="0" distL="0" distR="0" wp14:anchorId="5898B651" wp14:editId="662EC98E">
            <wp:extent cx="5943600" cy="2647315"/>
            <wp:effectExtent l="0" t="0" r="0" b="0"/>
            <wp:docPr id="594658539" name="Picture 2"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58539" name="Picture 2" descr="A screenshot of a websi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647315"/>
                    </a:xfrm>
                    <a:prstGeom prst="rect">
                      <a:avLst/>
                    </a:prstGeom>
                  </pic:spPr>
                </pic:pic>
              </a:graphicData>
            </a:graphic>
          </wp:inline>
        </w:drawing>
      </w:r>
    </w:p>
    <w:sectPr w:rsidR="00194AB6" w:rsidRPr="00333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4746" w14:textId="77777777" w:rsidR="00F8078A" w:rsidRDefault="00F8078A" w:rsidP="00330631">
      <w:r>
        <w:separator/>
      </w:r>
    </w:p>
  </w:endnote>
  <w:endnote w:type="continuationSeparator" w:id="0">
    <w:p w14:paraId="019AFFFD" w14:textId="77777777" w:rsidR="00F8078A" w:rsidRDefault="00F8078A" w:rsidP="0033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9E23" w14:textId="77777777" w:rsidR="00F8078A" w:rsidRDefault="00F8078A" w:rsidP="00330631">
      <w:r>
        <w:separator/>
      </w:r>
    </w:p>
  </w:footnote>
  <w:footnote w:type="continuationSeparator" w:id="0">
    <w:p w14:paraId="1E475ECD" w14:textId="77777777" w:rsidR="00F8078A" w:rsidRDefault="00F8078A" w:rsidP="00330631">
      <w:r>
        <w:continuationSeparator/>
      </w:r>
    </w:p>
  </w:footnote>
  <w:footnote w:id="1">
    <w:p w14:paraId="71FBA6DA" w14:textId="77777777" w:rsidR="00963DD7" w:rsidRDefault="00963DD7" w:rsidP="00963DD7">
      <w:pPr>
        <w:pStyle w:val="FootnoteText"/>
      </w:pPr>
      <w:r>
        <w:rPr>
          <w:rStyle w:val="FootnoteReference"/>
        </w:rPr>
        <w:footnoteRef/>
      </w:r>
      <w:r>
        <w:t xml:space="preserve"> </w:t>
      </w:r>
      <w:hyperlink r:id="rId1" w:history="1">
        <w:r w:rsidRPr="00D5179D">
          <w:rPr>
            <w:rStyle w:val="Hyperlink"/>
          </w:rPr>
          <w:t>https://pmc.ncbi.nlm.nih.gov/articles/PMC6014157/</w:t>
        </w:r>
      </w:hyperlink>
      <w:r>
        <w:t xml:space="preserve"> </w:t>
      </w:r>
      <w:hyperlink r:id="rId2" w:history="1">
        <w:r w:rsidRPr="00D5179D">
          <w:rPr>
            <w:rStyle w:val="Hyperlink"/>
          </w:rPr>
          <w:t>https://pmc.ncbi.nlm.nih.gov/articles/PMC8254936/</w:t>
        </w:r>
      </w:hyperlink>
      <w:r>
        <w:t xml:space="preserve"> </w:t>
      </w:r>
      <w:hyperlink r:id="rId3" w:history="1">
        <w:r w:rsidRPr="00D5179D">
          <w:rPr>
            <w:rStyle w:val="Hyperlink"/>
          </w:rPr>
          <w:t>https://pmc.ncbi.nlm.nih.gov/articles/PMC6475861/</w:t>
        </w:r>
      </w:hyperlink>
      <w:r>
        <w:t xml:space="preserve"> </w:t>
      </w:r>
      <w:r w:rsidRPr="002C4362">
        <w:t>https://pmc.ncbi.nlm.nih.gov/articles/PMC8356278/</w:t>
      </w:r>
    </w:p>
  </w:footnote>
  <w:footnote w:id="2">
    <w:p w14:paraId="5E3CF4E7" w14:textId="77777777" w:rsidR="00963DD7" w:rsidRDefault="00963DD7" w:rsidP="00963DD7">
      <w:pPr>
        <w:pStyle w:val="FootnoteText"/>
      </w:pPr>
      <w:r>
        <w:rPr>
          <w:rStyle w:val="FootnoteReference"/>
        </w:rPr>
        <w:footnoteRef/>
      </w:r>
      <w:r>
        <w:t xml:space="preserve"> </w:t>
      </w:r>
      <w:hyperlink r:id="rId4" w:history="1">
        <w:r w:rsidRPr="00D5179D">
          <w:rPr>
            <w:rStyle w:val="Hyperlink"/>
          </w:rPr>
          <w:t>https://www.metrotimes.com/news/us-attorney-michigan-is-the-nations-most-corrupt-state-21817066</w:t>
        </w:r>
      </w:hyperlink>
      <w:r>
        <w:t xml:space="preserve"> </w:t>
      </w:r>
      <w:r w:rsidRPr="002C4362">
        <w:t>https://www.lansingstatejournal.com/story/opinion/contributors/viewpoints/2023/10/22/michigan-foia-transparency-legislature-governor-stall/71232546007/</w:t>
      </w:r>
    </w:p>
  </w:footnote>
  <w:footnote w:id="3">
    <w:p w14:paraId="0D8F837A" w14:textId="0AEF4C3E" w:rsidR="00D704F7" w:rsidRDefault="00D704F7">
      <w:pPr>
        <w:pStyle w:val="FootnoteText"/>
      </w:pPr>
      <w:r>
        <w:rPr>
          <w:rStyle w:val="FootnoteReference"/>
        </w:rPr>
        <w:footnoteRef/>
      </w:r>
      <w:r>
        <w:t xml:space="preserve"> </w:t>
      </w:r>
      <w:r w:rsidRPr="00D704F7">
        <w:t>https://www.sec.gov/files/litigation/admin/2023/34-96819.pdf</w:t>
      </w:r>
    </w:p>
  </w:footnote>
  <w:footnote w:id="4">
    <w:p w14:paraId="65F87184" w14:textId="6EACE2DF" w:rsidR="00330631" w:rsidRDefault="00330631">
      <w:pPr>
        <w:pStyle w:val="FootnoteText"/>
      </w:pPr>
      <w:r>
        <w:rPr>
          <w:rStyle w:val="FootnoteReference"/>
        </w:rPr>
        <w:footnoteRef/>
      </w:r>
      <w:r>
        <w:t xml:space="preserve"> </w:t>
      </w:r>
      <w:r w:rsidRPr="00330631">
        <w:t>https://www.causeiq.com/directory/unions-list/michigan-state/#:~:text=Michigan%20unions-,Michigan%20unions,1%2C739labor%20unions%20in%20Michigan.</w:t>
      </w:r>
    </w:p>
  </w:footnote>
  <w:footnote w:id="5">
    <w:p w14:paraId="712D8688" w14:textId="758237B9" w:rsidR="00C722D9" w:rsidRDefault="00C722D9">
      <w:pPr>
        <w:pStyle w:val="FootnoteText"/>
      </w:pPr>
      <w:r>
        <w:rPr>
          <w:rStyle w:val="FootnoteReference"/>
        </w:rPr>
        <w:footnoteRef/>
      </w:r>
      <w:r>
        <w:t xml:space="preserve"> </w:t>
      </w:r>
      <w:r w:rsidRPr="00C722D9">
        <w:t>https://www.bls.gov/regions/midwest/news-release/unionmembership_michigan.htm#:~:text=Michigan%20had%20564%2C000%20union%20members%20in%202023.</w:t>
      </w:r>
    </w:p>
  </w:footnote>
  <w:footnote w:id="6">
    <w:p w14:paraId="62B7FE54" w14:textId="1AE75313" w:rsidR="00330631" w:rsidRDefault="00330631">
      <w:pPr>
        <w:pStyle w:val="FootnoteText"/>
      </w:pPr>
      <w:r>
        <w:rPr>
          <w:rStyle w:val="FootnoteReference"/>
        </w:rPr>
        <w:footnoteRef/>
      </w:r>
      <w:r>
        <w:t xml:space="preserve"> </w:t>
      </w:r>
      <w:hyperlink r:id="rId5" w:history="1">
        <w:r w:rsidRPr="00D5179D">
          <w:rPr>
            <w:rStyle w:val="Hyperlink"/>
          </w:rPr>
          <w:t>https://www.michigan.gov/whitmer/news/press-releases/2024/09/10/governor-whitmer-makes-appointments-to-boards-and-commissions</w:t>
        </w:r>
      </w:hyperlink>
    </w:p>
    <w:p w14:paraId="41544B39" w14:textId="3D6E9F1F" w:rsidR="00330631" w:rsidRDefault="00330631">
      <w:pPr>
        <w:pStyle w:val="FootnoteText"/>
      </w:pPr>
      <w:r w:rsidRPr="00330631">
        <w:t>https://www.michigan.gov/whitmer/news/press-releases/2020/08/28/governor-whitmer-makes-appointments-to-boards-and-commissions121819-1-5</w:t>
      </w:r>
    </w:p>
  </w:footnote>
  <w:footnote w:id="7">
    <w:p w14:paraId="639D488C" w14:textId="56AAEBDF" w:rsidR="00B75F31" w:rsidRDefault="00B75F31">
      <w:pPr>
        <w:pStyle w:val="FootnoteText"/>
      </w:pPr>
      <w:r>
        <w:rPr>
          <w:rStyle w:val="FootnoteReference"/>
        </w:rPr>
        <w:footnoteRef/>
      </w:r>
      <w:r>
        <w:t xml:space="preserve"> </w:t>
      </w:r>
      <w:hyperlink r:id="rId6" w:history="1">
        <w:r w:rsidRPr="00D5179D">
          <w:rPr>
            <w:rStyle w:val="Hyperlink"/>
          </w:rPr>
          <w:t>https://www.michigan.gov/leo/bureaus-agencies/wd</w:t>
        </w:r>
      </w:hyperlink>
      <w:r>
        <w:t xml:space="preserve"> </w:t>
      </w:r>
    </w:p>
    <w:p w14:paraId="50EFBE3B" w14:textId="34233A6E" w:rsidR="00B75F31" w:rsidRDefault="00B75F31">
      <w:pPr>
        <w:pStyle w:val="FootnoteText"/>
      </w:pPr>
      <w:r w:rsidRPr="00B75F31">
        <w:t>https://www.michigan.gov/whitmer/news/press-releases/2024/09/26/governor-whitmer-makes-appointments-to-boards-and-commissions</w:t>
      </w:r>
    </w:p>
  </w:footnote>
  <w:footnote w:id="8">
    <w:p w14:paraId="234C7BA7" w14:textId="394808E8" w:rsidR="00530C57" w:rsidRDefault="00530C57">
      <w:pPr>
        <w:pStyle w:val="FootnoteText"/>
      </w:pPr>
      <w:r>
        <w:rPr>
          <w:rStyle w:val="FootnoteReference"/>
        </w:rPr>
        <w:footnoteRef/>
      </w:r>
      <w:r>
        <w:t xml:space="preserve"> </w:t>
      </w:r>
      <w:r w:rsidRPr="00530C57">
        <w:t>https://www.michigan.gov/whitmer/news/state-orders-and-directives/2020/05/29/executive-order-2020-107</w:t>
      </w:r>
    </w:p>
  </w:footnote>
  <w:footnote w:id="9">
    <w:p w14:paraId="4667C01E" w14:textId="6F06CDCC" w:rsidR="00C722D9" w:rsidRDefault="00C722D9">
      <w:pPr>
        <w:pStyle w:val="FootnoteText"/>
      </w:pPr>
      <w:r>
        <w:rPr>
          <w:rStyle w:val="FootnoteReference"/>
        </w:rPr>
        <w:footnoteRef/>
      </w:r>
      <w:r>
        <w:t xml:space="preserve"> </w:t>
      </w:r>
      <w:r w:rsidRPr="00C722D9">
        <w:t>https://www.michiganbusiness.org/4aa8d6/globalassets/documents/msf-board/msf-board-packets/october-2024-msf-board-packet---final.pdf</w:t>
      </w:r>
    </w:p>
  </w:footnote>
  <w:footnote w:id="10">
    <w:p w14:paraId="73042A3A" w14:textId="0DDF2605" w:rsidR="0003002F" w:rsidRDefault="0003002F">
      <w:pPr>
        <w:pStyle w:val="FootnoteText"/>
      </w:pPr>
      <w:r>
        <w:rPr>
          <w:rStyle w:val="FootnoteReference"/>
        </w:rPr>
        <w:footnoteRef/>
      </w:r>
      <w:r>
        <w:t xml:space="preserve"> </w:t>
      </w:r>
      <w:hyperlink r:id="rId7" w:history="1">
        <w:r w:rsidRPr="00E33A0A">
          <w:rPr>
            <w:rStyle w:val="Hyperlink"/>
          </w:rPr>
          <w:t>https://www.steveharrypublicpolicy.com/</w:t>
        </w:r>
        <w:r w:rsidRPr="00E33A0A">
          <w:rPr>
            <w:rStyle w:val="Hyperlink"/>
          </w:rPr>
          <w:t>e</w:t>
        </w:r>
        <w:r w:rsidRPr="00E33A0A">
          <w:rPr>
            <w:rStyle w:val="Hyperlink"/>
          </w:rPr>
          <w:t>ssaysLTE/Essay20241111.html</w:t>
        </w:r>
      </w:hyperlink>
      <w:r>
        <w:t xml:space="preserve"> </w:t>
      </w:r>
    </w:p>
  </w:footnote>
  <w:footnote w:id="11">
    <w:p w14:paraId="31BBF763" w14:textId="0D9004AA" w:rsidR="00194AB6" w:rsidRDefault="00194AB6">
      <w:pPr>
        <w:pStyle w:val="FootnoteText"/>
      </w:pPr>
      <w:r>
        <w:rPr>
          <w:rStyle w:val="FootnoteReference"/>
        </w:rPr>
        <w:footnoteRef/>
      </w:r>
      <w:r>
        <w:t xml:space="preserve"> </w:t>
      </w:r>
      <w:r w:rsidRPr="00194AB6">
        <w:t>https://www.michiganbusinessnetwork.com/blog/medc-lenders-may-now-apply-for-small-business-loan-enhancement-support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31"/>
    <w:rsid w:val="0003002F"/>
    <w:rsid w:val="00034DFF"/>
    <w:rsid w:val="000441CB"/>
    <w:rsid w:val="000F409A"/>
    <w:rsid w:val="001341BD"/>
    <w:rsid w:val="00194AB6"/>
    <w:rsid w:val="00281641"/>
    <w:rsid w:val="00295466"/>
    <w:rsid w:val="002C4362"/>
    <w:rsid w:val="00330631"/>
    <w:rsid w:val="003331FF"/>
    <w:rsid w:val="003A21AA"/>
    <w:rsid w:val="003A5DD2"/>
    <w:rsid w:val="00406165"/>
    <w:rsid w:val="00463B89"/>
    <w:rsid w:val="00494BC1"/>
    <w:rsid w:val="00507E3E"/>
    <w:rsid w:val="00530C57"/>
    <w:rsid w:val="005A0275"/>
    <w:rsid w:val="006B1A7C"/>
    <w:rsid w:val="006F5C18"/>
    <w:rsid w:val="007553AB"/>
    <w:rsid w:val="007A7BC8"/>
    <w:rsid w:val="008A5CDD"/>
    <w:rsid w:val="00900833"/>
    <w:rsid w:val="00963DD7"/>
    <w:rsid w:val="009E467A"/>
    <w:rsid w:val="00AB115D"/>
    <w:rsid w:val="00AE7306"/>
    <w:rsid w:val="00B75F31"/>
    <w:rsid w:val="00BC0A9C"/>
    <w:rsid w:val="00C56BB7"/>
    <w:rsid w:val="00C722D9"/>
    <w:rsid w:val="00D56245"/>
    <w:rsid w:val="00D704F7"/>
    <w:rsid w:val="00D951CD"/>
    <w:rsid w:val="00DE6C53"/>
    <w:rsid w:val="00E33C91"/>
    <w:rsid w:val="00E915A6"/>
    <w:rsid w:val="00F611CF"/>
    <w:rsid w:val="00F8078A"/>
    <w:rsid w:val="00FA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99AB2"/>
  <w15:chartTrackingRefBased/>
  <w15:docId w15:val="{EC62FD35-07FF-9D43-8129-6C02032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631"/>
    <w:rPr>
      <w:sz w:val="20"/>
      <w:szCs w:val="20"/>
    </w:rPr>
  </w:style>
  <w:style w:type="character" w:customStyle="1" w:styleId="FootnoteTextChar">
    <w:name w:val="Footnote Text Char"/>
    <w:basedOn w:val="DefaultParagraphFont"/>
    <w:link w:val="FootnoteText"/>
    <w:uiPriority w:val="99"/>
    <w:semiHidden/>
    <w:rsid w:val="00330631"/>
    <w:rPr>
      <w:sz w:val="20"/>
      <w:szCs w:val="20"/>
    </w:rPr>
  </w:style>
  <w:style w:type="character" w:styleId="FootnoteReference">
    <w:name w:val="footnote reference"/>
    <w:basedOn w:val="DefaultParagraphFont"/>
    <w:uiPriority w:val="99"/>
    <w:semiHidden/>
    <w:unhideWhenUsed/>
    <w:rsid w:val="00330631"/>
    <w:rPr>
      <w:vertAlign w:val="superscript"/>
    </w:rPr>
  </w:style>
  <w:style w:type="character" w:styleId="Hyperlink">
    <w:name w:val="Hyperlink"/>
    <w:basedOn w:val="DefaultParagraphFont"/>
    <w:uiPriority w:val="99"/>
    <w:unhideWhenUsed/>
    <w:rsid w:val="00330631"/>
    <w:rPr>
      <w:color w:val="0563C1" w:themeColor="hyperlink"/>
      <w:u w:val="single"/>
    </w:rPr>
  </w:style>
  <w:style w:type="character" w:styleId="UnresolvedMention">
    <w:name w:val="Unresolved Mention"/>
    <w:basedOn w:val="DefaultParagraphFont"/>
    <w:uiPriority w:val="99"/>
    <w:semiHidden/>
    <w:unhideWhenUsed/>
    <w:rsid w:val="00330631"/>
    <w:rPr>
      <w:color w:val="605E5C"/>
      <w:shd w:val="clear" w:color="auto" w:fill="E1DFDD"/>
    </w:rPr>
  </w:style>
  <w:style w:type="character" w:customStyle="1" w:styleId="oxzekf">
    <w:name w:val="oxzekf"/>
    <w:basedOn w:val="DefaultParagraphFont"/>
    <w:rsid w:val="0033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7652">
      <w:bodyDiv w:val="1"/>
      <w:marLeft w:val="0"/>
      <w:marRight w:val="0"/>
      <w:marTop w:val="0"/>
      <w:marBottom w:val="0"/>
      <w:divBdr>
        <w:top w:val="none" w:sz="0" w:space="0" w:color="auto"/>
        <w:left w:val="none" w:sz="0" w:space="0" w:color="auto"/>
        <w:bottom w:val="none" w:sz="0" w:space="0" w:color="auto"/>
        <w:right w:val="none" w:sz="0" w:space="0" w:color="auto"/>
      </w:divBdr>
      <w:divsChild>
        <w:div w:id="1933203234">
          <w:marLeft w:val="0"/>
          <w:marRight w:val="0"/>
          <w:marTop w:val="0"/>
          <w:marBottom w:val="0"/>
          <w:divBdr>
            <w:top w:val="none" w:sz="0" w:space="0" w:color="auto"/>
            <w:left w:val="none" w:sz="0" w:space="0" w:color="auto"/>
            <w:bottom w:val="none" w:sz="0" w:space="0" w:color="auto"/>
            <w:right w:val="none" w:sz="0" w:space="0" w:color="auto"/>
          </w:divBdr>
          <w:divsChild>
            <w:div w:id="930822898">
              <w:marLeft w:val="0"/>
              <w:marRight w:val="0"/>
              <w:marTop w:val="0"/>
              <w:marBottom w:val="0"/>
              <w:divBdr>
                <w:top w:val="none" w:sz="0" w:space="0" w:color="auto"/>
                <w:left w:val="none" w:sz="0" w:space="0" w:color="auto"/>
                <w:bottom w:val="none" w:sz="0" w:space="0" w:color="auto"/>
                <w:right w:val="none" w:sz="0" w:space="0" w:color="auto"/>
              </w:divBdr>
            </w:div>
          </w:divsChild>
        </w:div>
        <w:div w:id="128426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mc.ncbi.nlm.nih.gov/articles/PMC6475861/" TargetMode="External"/><Relationship Id="rId7" Type="http://schemas.openxmlformats.org/officeDocument/2006/relationships/hyperlink" Target="https://www.steveharrypublicpolicy.com/essaysLTE/Essay20241111.html" TargetMode="External"/><Relationship Id="rId2" Type="http://schemas.openxmlformats.org/officeDocument/2006/relationships/hyperlink" Target="https://pmc.ncbi.nlm.nih.gov/articles/PMC8254936/" TargetMode="External"/><Relationship Id="rId1" Type="http://schemas.openxmlformats.org/officeDocument/2006/relationships/hyperlink" Target="https://pmc.ncbi.nlm.nih.gov/articles/PMC6014157/" TargetMode="External"/><Relationship Id="rId6" Type="http://schemas.openxmlformats.org/officeDocument/2006/relationships/hyperlink" Target="https://www.michigan.gov/leo/bureaus-agencies/wd" TargetMode="External"/><Relationship Id="rId5" Type="http://schemas.openxmlformats.org/officeDocument/2006/relationships/hyperlink" Target="https://www.michigan.gov/whitmer/news/press-releases/2024/09/10/governor-whitmer-makes-appointments-to-boards-and-commissions" TargetMode="External"/><Relationship Id="rId4" Type="http://schemas.openxmlformats.org/officeDocument/2006/relationships/hyperlink" Target="https://www.metrotimes.com/news/us-attorney-michigan-is-the-nations-most-corrupt-state-21817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tedda hughes</dc:creator>
  <cp:keywords/>
  <dc:description/>
  <cp:lastModifiedBy>tedda hughes</cp:lastModifiedBy>
  <cp:revision>12</cp:revision>
  <dcterms:created xsi:type="dcterms:W3CDTF">2024-12-13T18:10:00Z</dcterms:created>
  <dcterms:modified xsi:type="dcterms:W3CDTF">2024-12-18T19:10:00Z</dcterms:modified>
</cp:coreProperties>
</file>